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6C1B" w14:textId="77777777" w:rsidR="00CB3780" w:rsidRPr="009C1299" w:rsidRDefault="00CB3780" w:rsidP="0085204C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14:paraId="70290566" w14:textId="77777777" w:rsidR="00452497" w:rsidRDefault="00EC4A7F" w:rsidP="00EC4A7F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C1299">
        <w:rPr>
          <w:rFonts w:ascii="Arial Narrow" w:hAnsi="Arial Narrow"/>
          <w:b/>
          <w:sz w:val="32"/>
          <w:szCs w:val="32"/>
        </w:rPr>
        <w:t xml:space="preserve">EXPOSICIÓN DE MOTIVOS </w:t>
      </w:r>
      <w:r w:rsidR="00BC202C">
        <w:rPr>
          <w:rFonts w:ascii="Arial Narrow" w:hAnsi="Arial Narrow"/>
          <w:b/>
          <w:sz w:val="32"/>
          <w:szCs w:val="32"/>
        </w:rPr>
        <w:t xml:space="preserve">DE LA </w:t>
      </w:r>
    </w:p>
    <w:p w14:paraId="70C0FFBB" w14:textId="33FBE764" w:rsidR="00BC202C" w:rsidRPr="009C1299" w:rsidRDefault="00BC202C" w:rsidP="00BC202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 xml:space="preserve">INICIATIVA DE </w:t>
      </w:r>
      <w:r w:rsidRPr="009C1299">
        <w:rPr>
          <w:rFonts w:ascii="Arial Narrow" w:hAnsi="Arial Narrow"/>
          <w:b/>
          <w:sz w:val="32"/>
          <w:szCs w:val="32"/>
        </w:rPr>
        <w:t>LEY DE INGRESOS 202</w:t>
      </w:r>
      <w:r w:rsidR="008D37AE">
        <w:rPr>
          <w:rFonts w:ascii="Arial Narrow" w:hAnsi="Arial Narrow"/>
          <w:b/>
          <w:sz w:val="32"/>
          <w:szCs w:val="32"/>
        </w:rPr>
        <w:t>5</w:t>
      </w:r>
      <w:r w:rsidR="00591797">
        <w:rPr>
          <w:rFonts w:ascii="Arial Narrow" w:hAnsi="Arial Narrow"/>
          <w:b/>
          <w:sz w:val="32"/>
          <w:szCs w:val="32"/>
        </w:rPr>
        <w:t xml:space="preserve"> DEL MUNICIPIO DE TENANGO DE DORIA</w:t>
      </w:r>
    </w:p>
    <w:p w14:paraId="371F9581" w14:textId="77777777" w:rsidR="00483077" w:rsidRPr="009C1299" w:rsidRDefault="00483077" w:rsidP="00CB378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1B75758" w14:textId="77777777" w:rsidR="007D46FD" w:rsidRPr="009C1299" w:rsidRDefault="007D46FD" w:rsidP="0048307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19EB0E0" w14:textId="729A09A0" w:rsidR="00CD220D" w:rsidRPr="009C1299" w:rsidRDefault="00BB3582" w:rsidP="00CD220D">
      <w:pPr>
        <w:jc w:val="both"/>
        <w:rPr>
          <w:rFonts w:ascii="Arial Narrow" w:hAnsi="Arial Narrow" w:cs="Arial"/>
          <w:sz w:val="24"/>
          <w:szCs w:val="24"/>
        </w:rPr>
      </w:pPr>
      <w:bookmarkStart w:id="0" w:name="_Hlk52805314"/>
      <w:r w:rsidRPr="009C1299">
        <w:rPr>
          <w:rFonts w:ascii="Arial Narrow" w:hAnsi="Arial Narrow" w:cs="Tahoma"/>
          <w:sz w:val="24"/>
          <w:szCs w:val="24"/>
        </w:rPr>
        <w:t>De conformidad a</w:t>
      </w:r>
      <w:r w:rsidR="00EC4A7F" w:rsidRPr="009C1299">
        <w:rPr>
          <w:rFonts w:ascii="Arial Narrow" w:hAnsi="Arial Narrow" w:cs="Tahoma"/>
          <w:sz w:val="24"/>
          <w:szCs w:val="24"/>
        </w:rPr>
        <w:t xml:space="preserve"> lo establecido</w:t>
      </w:r>
      <w:r w:rsidR="0082324C" w:rsidRPr="009C1299">
        <w:rPr>
          <w:rFonts w:ascii="Arial Narrow" w:hAnsi="Arial Narrow" w:cs="Tahoma"/>
          <w:sz w:val="24"/>
          <w:szCs w:val="24"/>
        </w:rPr>
        <w:t xml:space="preserve"> por los artículos 115 fracción IV de la Constitución Política de los Estado Unidos Mexicanos; 47 fracción IV, 49 y 141 fracción IX de la Constitución Política del Estado de Hidalgo; 124 fracción IV de la Ley Orgánica del Poder Legislativo del Estado Libre y Soberano de Hidalgo; 29 del Código Fiscal Municipal para el Estado de Hidalgo; 56 fracción I, incisos d), q) y r), 60 fracción I, inciso q) y 95 Quater de la Ley Orgánica Municipal para el Estado de Hidalgo y 5 de la Ley de Hacienda para los Municipios del Estado de Hidalgo</w:t>
      </w:r>
      <w:bookmarkEnd w:id="0"/>
      <w:r w:rsidR="00CD220D" w:rsidRPr="009C1299">
        <w:rPr>
          <w:rFonts w:ascii="Arial Narrow" w:hAnsi="Arial Narrow" w:cs="Arial"/>
          <w:sz w:val="24"/>
          <w:szCs w:val="24"/>
        </w:rPr>
        <w:t xml:space="preserve">; el </w:t>
      </w:r>
      <w:r w:rsidR="0042707E">
        <w:rPr>
          <w:rFonts w:ascii="Arial Narrow" w:hAnsi="Arial Narrow" w:cs="Arial"/>
          <w:sz w:val="24"/>
          <w:szCs w:val="24"/>
        </w:rPr>
        <w:t>Ayuntamiento</w:t>
      </w:r>
      <w:r w:rsidR="00452497">
        <w:rPr>
          <w:rFonts w:ascii="Arial Narrow" w:hAnsi="Arial Narrow" w:cs="Arial"/>
          <w:sz w:val="24"/>
          <w:szCs w:val="24"/>
        </w:rPr>
        <w:t xml:space="preserve"> Municipal</w:t>
      </w:r>
      <w:r w:rsidR="0082324C" w:rsidRPr="009C1299">
        <w:rPr>
          <w:rFonts w:ascii="Arial Narrow" w:hAnsi="Arial Narrow" w:cs="Arial"/>
          <w:sz w:val="24"/>
          <w:szCs w:val="24"/>
        </w:rPr>
        <w:t xml:space="preserve"> de</w:t>
      </w:r>
      <w:r w:rsidR="00452497">
        <w:rPr>
          <w:rFonts w:ascii="Arial Narrow" w:hAnsi="Arial Narrow" w:cs="Arial"/>
          <w:sz w:val="24"/>
          <w:szCs w:val="24"/>
        </w:rPr>
        <w:t xml:space="preserve"> </w:t>
      </w:r>
      <w:r w:rsidR="00524CB0">
        <w:rPr>
          <w:rFonts w:ascii="Arial Narrow" w:hAnsi="Arial Narrow" w:cs="Arial"/>
          <w:sz w:val="24"/>
          <w:szCs w:val="24"/>
        </w:rPr>
        <w:t>Tenango de Doria</w:t>
      </w:r>
      <w:r w:rsidR="0082324C" w:rsidRPr="009C1299">
        <w:rPr>
          <w:rFonts w:ascii="Arial Narrow" w:hAnsi="Arial Narrow" w:cs="Arial"/>
          <w:sz w:val="24"/>
          <w:szCs w:val="24"/>
        </w:rPr>
        <w:t xml:space="preserve"> </w:t>
      </w:r>
      <w:r w:rsidR="00CD220D" w:rsidRPr="009C1299">
        <w:rPr>
          <w:rFonts w:ascii="Arial Narrow" w:hAnsi="Arial Narrow" w:cs="Arial"/>
          <w:sz w:val="24"/>
          <w:szCs w:val="24"/>
        </w:rPr>
        <w:t>apr</w:t>
      </w:r>
      <w:r w:rsidR="00EC4A7F" w:rsidRPr="009C1299">
        <w:rPr>
          <w:rFonts w:ascii="Arial Narrow" w:hAnsi="Arial Narrow" w:cs="Arial"/>
          <w:sz w:val="24"/>
          <w:szCs w:val="24"/>
        </w:rPr>
        <w:t>obó</w:t>
      </w:r>
      <w:r w:rsidR="00CD220D" w:rsidRPr="009C1299">
        <w:rPr>
          <w:rFonts w:ascii="Arial Narrow" w:hAnsi="Arial Narrow" w:cs="Arial"/>
          <w:sz w:val="24"/>
          <w:szCs w:val="24"/>
        </w:rPr>
        <w:t xml:space="preserve"> la Iniciativa del Ley de Ingre</w:t>
      </w:r>
      <w:r w:rsidR="00524CB0">
        <w:rPr>
          <w:rFonts w:ascii="Arial Narrow" w:hAnsi="Arial Narrow" w:cs="Arial"/>
          <w:sz w:val="24"/>
          <w:szCs w:val="24"/>
        </w:rPr>
        <w:t>sos para el ejercicio fiscal 202</w:t>
      </w:r>
      <w:r w:rsidR="001E7990">
        <w:rPr>
          <w:rFonts w:ascii="Arial Narrow" w:hAnsi="Arial Narrow" w:cs="Arial"/>
          <w:sz w:val="24"/>
          <w:szCs w:val="24"/>
        </w:rPr>
        <w:t>5</w:t>
      </w:r>
      <w:r w:rsidR="00566A1D">
        <w:rPr>
          <w:rFonts w:ascii="Arial Narrow" w:hAnsi="Arial Narrow" w:cs="Arial"/>
          <w:sz w:val="24"/>
          <w:szCs w:val="24"/>
        </w:rPr>
        <w:t>.</w:t>
      </w:r>
      <w:r w:rsidR="00CD220D" w:rsidRPr="009C1299">
        <w:rPr>
          <w:rFonts w:ascii="Arial Narrow" w:hAnsi="Arial Narrow" w:cs="Arial"/>
          <w:sz w:val="24"/>
          <w:szCs w:val="24"/>
        </w:rPr>
        <w:t xml:space="preserve"> </w:t>
      </w:r>
    </w:p>
    <w:p w14:paraId="3FF4360D" w14:textId="77777777" w:rsidR="00EC4A7F" w:rsidRPr="009C1299" w:rsidRDefault="00EC4A7F" w:rsidP="00EC4A7F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Con el objeto de dar cumplimiento a lo establecido en el artículo 125 fracción II de la Ley Orgánica del Poder Legislativo del Estado Libre y Soberano de Hidalgo</w:t>
      </w:r>
      <w:r w:rsidR="00452497">
        <w:rPr>
          <w:rFonts w:ascii="Arial Narrow" w:hAnsi="Arial Narrow" w:cs="Tahoma"/>
          <w:sz w:val="24"/>
          <w:szCs w:val="24"/>
        </w:rPr>
        <w:t>,</w:t>
      </w:r>
      <w:r w:rsidRPr="009C1299">
        <w:rPr>
          <w:rFonts w:ascii="Arial Narrow" w:hAnsi="Arial Narrow" w:cs="Tahoma"/>
          <w:sz w:val="24"/>
          <w:szCs w:val="24"/>
        </w:rPr>
        <w:t xml:space="preserve"> se</w:t>
      </w:r>
      <w:r w:rsidR="00452497">
        <w:rPr>
          <w:rFonts w:ascii="Arial Narrow" w:hAnsi="Arial Narrow" w:cs="Tahoma"/>
          <w:sz w:val="24"/>
          <w:szCs w:val="24"/>
        </w:rPr>
        <w:t xml:space="preserve"> expone:</w:t>
      </w:r>
    </w:p>
    <w:p w14:paraId="394ACF93" w14:textId="3D5B2AB2" w:rsidR="00E30F63" w:rsidRDefault="006C6657" w:rsidP="00EC4A7F">
      <w:pPr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Este Municipio es </w:t>
      </w:r>
      <w:r w:rsidR="00A640B0" w:rsidRPr="009C1299">
        <w:rPr>
          <w:rFonts w:ascii="Arial Narrow" w:hAnsi="Arial Narrow" w:cs="Tahoma"/>
          <w:sz w:val="24"/>
          <w:szCs w:val="24"/>
        </w:rPr>
        <w:t>gobernado por un Ayuntamiento, integrad</w:t>
      </w:r>
      <w:r w:rsidR="00E06A0A">
        <w:rPr>
          <w:rFonts w:ascii="Arial Narrow" w:hAnsi="Arial Narrow" w:cs="Tahoma"/>
          <w:sz w:val="24"/>
          <w:szCs w:val="24"/>
        </w:rPr>
        <w:t>o por un</w:t>
      </w:r>
      <w:r w:rsidR="00454B14">
        <w:rPr>
          <w:rFonts w:ascii="Arial Narrow" w:hAnsi="Arial Narrow" w:cs="Tahoma"/>
          <w:sz w:val="24"/>
          <w:szCs w:val="24"/>
        </w:rPr>
        <w:t>a</w:t>
      </w:r>
      <w:r w:rsidR="00E06A0A">
        <w:rPr>
          <w:rFonts w:ascii="Arial Narrow" w:hAnsi="Arial Narrow" w:cs="Tahoma"/>
          <w:sz w:val="24"/>
          <w:szCs w:val="24"/>
        </w:rPr>
        <w:t xml:space="preserve"> President</w:t>
      </w:r>
      <w:r w:rsidR="004D291F">
        <w:rPr>
          <w:rFonts w:ascii="Arial Narrow" w:hAnsi="Arial Narrow" w:cs="Tahoma"/>
          <w:sz w:val="24"/>
          <w:szCs w:val="24"/>
        </w:rPr>
        <w:t>a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 Municipal</w:t>
      </w:r>
      <w:r w:rsidR="004E5287">
        <w:rPr>
          <w:rFonts w:ascii="Arial Narrow" w:hAnsi="Arial Narrow" w:cs="Tahoma"/>
          <w:sz w:val="24"/>
          <w:szCs w:val="24"/>
        </w:rPr>
        <w:t>,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 </w:t>
      </w:r>
      <w:r w:rsidR="00E30F63" w:rsidRPr="00E30F63">
        <w:rPr>
          <w:rFonts w:ascii="Arial Narrow" w:hAnsi="Arial Narrow" w:cs="Tahoma"/>
          <w:sz w:val="24"/>
          <w:szCs w:val="24"/>
        </w:rPr>
        <w:t>los Síndicos y los Regidores que establezca la Ley Electoral del Estado del Hidalgo</w:t>
      </w:r>
      <w:r w:rsidR="00E30F63">
        <w:rPr>
          <w:rFonts w:ascii="Arial Narrow" w:hAnsi="Arial Narrow" w:cs="Tahoma"/>
          <w:sz w:val="24"/>
          <w:szCs w:val="24"/>
        </w:rPr>
        <w:t>.</w:t>
      </w:r>
      <w:r w:rsidR="00E30F63" w:rsidRPr="009C1299">
        <w:rPr>
          <w:rFonts w:ascii="Arial Narrow" w:hAnsi="Arial Narrow" w:cs="Tahoma"/>
          <w:sz w:val="24"/>
          <w:szCs w:val="24"/>
        </w:rPr>
        <w:t xml:space="preserve"> </w:t>
      </w:r>
    </w:p>
    <w:p w14:paraId="3446E317" w14:textId="77FE8022" w:rsidR="00370FDB" w:rsidRPr="009C1299" w:rsidRDefault="00370FDB" w:rsidP="00EC4A7F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E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l gobierno municipal </w:t>
      </w:r>
      <w:r w:rsidR="00E30F63">
        <w:rPr>
          <w:rFonts w:ascii="Arial Narrow" w:hAnsi="Arial Narrow" w:cs="Tahoma"/>
          <w:sz w:val="24"/>
          <w:szCs w:val="24"/>
        </w:rPr>
        <w:t xml:space="preserve">es ejercido </w:t>
      </w:r>
      <w:r w:rsidR="00A640B0" w:rsidRPr="009C1299">
        <w:rPr>
          <w:rFonts w:ascii="Arial Narrow" w:hAnsi="Arial Narrow" w:cs="Tahoma"/>
          <w:sz w:val="24"/>
          <w:szCs w:val="24"/>
        </w:rPr>
        <w:t>por el Ayuntamiento</w:t>
      </w:r>
      <w:r w:rsidR="006C6657">
        <w:rPr>
          <w:rFonts w:ascii="Arial Narrow" w:hAnsi="Arial Narrow" w:cs="Tahoma"/>
          <w:sz w:val="24"/>
          <w:szCs w:val="24"/>
        </w:rPr>
        <w:t xml:space="preserve">, </w:t>
      </w:r>
      <w:r w:rsidR="00A640B0" w:rsidRPr="009C1299">
        <w:rPr>
          <w:rFonts w:ascii="Arial Narrow" w:hAnsi="Arial Narrow" w:cs="Tahoma"/>
          <w:sz w:val="24"/>
          <w:szCs w:val="24"/>
        </w:rPr>
        <w:t>de manera exclusiva y no ha</w:t>
      </w:r>
      <w:r w:rsidR="006C6657">
        <w:rPr>
          <w:rFonts w:ascii="Arial Narrow" w:hAnsi="Arial Narrow" w:cs="Tahoma"/>
          <w:sz w:val="24"/>
          <w:szCs w:val="24"/>
        </w:rPr>
        <w:t>y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 autoridad intermedia alguna entre éste y el gobierno del Estado</w:t>
      </w:r>
      <w:r w:rsidR="00F44CDB">
        <w:rPr>
          <w:rFonts w:ascii="Arial Narrow" w:hAnsi="Arial Narrow" w:cs="Tahoma"/>
          <w:sz w:val="24"/>
          <w:szCs w:val="24"/>
        </w:rPr>
        <w:t>,</w:t>
      </w:r>
      <w:r w:rsidRPr="009C1299">
        <w:rPr>
          <w:rFonts w:ascii="Arial Narrow" w:hAnsi="Arial Narrow" w:cs="Tahoma"/>
          <w:sz w:val="24"/>
          <w:szCs w:val="24"/>
        </w:rPr>
        <w:t xml:space="preserve"> </w:t>
      </w:r>
      <w:r w:rsidR="00F44CDB">
        <w:rPr>
          <w:rFonts w:ascii="Arial Narrow" w:hAnsi="Arial Narrow" w:cs="Tahoma"/>
          <w:sz w:val="24"/>
          <w:szCs w:val="24"/>
        </w:rPr>
        <w:t>está</w:t>
      </w:r>
      <w:r w:rsidR="001F0F00" w:rsidRPr="009C1299">
        <w:rPr>
          <w:rFonts w:ascii="Arial Narrow" w:hAnsi="Arial Narrow" w:cs="Tahoma"/>
          <w:sz w:val="24"/>
          <w:szCs w:val="24"/>
        </w:rPr>
        <w:t xml:space="preserve"> investido de personalidad jurídica y maneja su patrimonio conforme a la ley</w:t>
      </w:r>
      <w:r w:rsidR="00BB3582" w:rsidRPr="009C1299">
        <w:rPr>
          <w:rFonts w:ascii="Arial Narrow" w:hAnsi="Arial Narrow" w:cs="Tahoma"/>
          <w:sz w:val="24"/>
          <w:szCs w:val="24"/>
        </w:rPr>
        <w:t>,</w:t>
      </w:r>
      <w:r w:rsidR="00CD220D" w:rsidRPr="009C1299">
        <w:rPr>
          <w:rFonts w:ascii="Arial Narrow" w:hAnsi="Arial Narrow" w:cs="Tahoma"/>
          <w:sz w:val="24"/>
          <w:szCs w:val="24"/>
        </w:rPr>
        <w:t xml:space="preserve"> </w:t>
      </w:r>
      <w:bookmarkStart w:id="1" w:name="_Hlk52797640"/>
      <w:r w:rsidR="001F0F00" w:rsidRPr="009C1299">
        <w:rPr>
          <w:rFonts w:ascii="Arial Narrow" w:hAnsi="Arial Narrow" w:cs="Tahoma"/>
          <w:sz w:val="24"/>
          <w:szCs w:val="24"/>
        </w:rPr>
        <w:t>administra</w:t>
      </w:r>
      <w:r w:rsidRPr="009C1299">
        <w:rPr>
          <w:rFonts w:ascii="Arial Narrow" w:hAnsi="Arial Narrow" w:cs="Tahoma"/>
          <w:sz w:val="24"/>
          <w:szCs w:val="24"/>
        </w:rPr>
        <w:t>ndo</w:t>
      </w:r>
      <w:r w:rsidR="001F0F00" w:rsidRPr="009C1299">
        <w:rPr>
          <w:rFonts w:ascii="Arial Narrow" w:hAnsi="Arial Narrow" w:cs="Tahoma"/>
          <w:sz w:val="24"/>
          <w:szCs w:val="24"/>
        </w:rPr>
        <w:t xml:space="preserve"> libremente su hacienda, la cual se formará de los rendimientos de los bienes que les pertenezcan, así como de las contribuciones y otros ingresos que las legislaturas establezcan a su favor</w:t>
      </w:r>
      <w:bookmarkEnd w:id="1"/>
      <w:r w:rsidR="00EC4A7F" w:rsidRPr="009C1299">
        <w:rPr>
          <w:rFonts w:ascii="Arial Narrow" w:hAnsi="Arial Narrow" w:cs="Tahoma"/>
          <w:sz w:val="24"/>
          <w:szCs w:val="24"/>
        </w:rPr>
        <w:t>.</w:t>
      </w:r>
    </w:p>
    <w:p w14:paraId="1E82C046" w14:textId="1C37C5E3" w:rsidR="00551331" w:rsidRPr="009C1299" w:rsidRDefault="00EC4A7F" w:rsidP="00EC4A7F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Los Ayuntamientos tiene</w:t>
      </w:r>
      <w:r w:rsidR="00454B14">
        <w:rPr>
          <w:rFonts w:ascii="Arial Narrow" w:hAnsi="Arial Narrow" w:cs="Tahoma"/>
          <w:sz w:val="24"/>
          <w:szCs w:val="24"/>
        </w:rPr>
        <w:t>n</w:t>
      </w:r>
      <w:r w:rsidRPr="009C1299">
        <w:rPr>
          <w:rFonts w:ascii="Arial Narrow" w:hAnsi="Arial Narrow" w:cs="Tahoma"/>
          <w:sz w:val="24"/>
          <w:szCs w:val="24"/>
        </w:rPr>
        <w:t xml:space="preserve"> el derecho y obligación de iniciar y formular las leyes y decretos conforme a la normativa aplicable</w:t>
      </w:r>
      <w:r w:rsidR="00BB3582" w:rsidRPr="009C1299">
        <w:rPr>
          <w:rFonts w:ascii="Arial Narrow" w:hAnsi="Arial Narrow" w:cs="Tahoma"/>
          <w:sz w:val="24"/>
          <w:szCs w:val="24"/>
        </w:rPr>
        <w:t xml:space="preserve"> y deberá de realizarlo</w:t>
      </w:r>
      <w:r w:rsidRPr="009C1299">
        <w:rPr>
          <w:rFonts w:ascii="Arial Narrow" w:hAnsi="Arial Narrow" w:cs="Tahoma"/>
          <w:sz w:val="24"/>
          <w:szCs w:val="24"/>
        </w:rPr>
        <w:t xml:space="preserve"> por escrito en un proyecto articulado</w:t>
      </w:r>
      <w:r w:rsidR="00BB3582" w:rsidRPr="009C1299">
        <w:rPr>
          <w:rFonts w:ascii="Arial Narrow" w:hAnsi="Arial Narrow" w:cs="Tahoma"/>
          <w:sz w:val="24"/>
          <w:szCs w:val="24"/>
        </w:rPr>
        <w:t xml:space="preserve"> y</w:t>
      </w:r>
      <w:r w:rsidRPr="009C1299">
        <w:rPr>
          <w:rFonts w:ascii="Arial Narrow" w:hAnsi="Arial Narrow" w:cs="Tahoma"/>
          <w:sz w:val="24"/>
          <w:szCs w:val="24"/>
        </w:rPr>
        <w:t xml:space="preserve"> firmad</w:t>
      </w:r>
      <w:r w:rsidR="00BB3582" w:rsidRPr="009C1299">
        <w:rPr>
          <w:rFonts w:ascii="Arial Narrow" w:hAnsi="Arial Narrow" w:cs="Tahoma"/>
          <w:sz w:val="24"/>
          <w:szCs w:val="24"/>
        </w:rPr>
        <w:t>o</w:t>
      </w:r>
      <w:r w:rsidRPr="009C1299">
        <w:rPr>
          <w:rFonts w:ascii="Arial Narrow" w:hAnsi="Arial Narrow" w:cs="Tahoma"/>
          <w:sz w:val="24"/>
          <w:szCs w:val="24"/>
        </w:rPr>
        <w:t xml:space="preserve"> por el o los autores conteniendo la exposición de motivos correspondiente presentándola al Presidente de la Directiva </w:t>
      </w:r>
      <w:r w:rsidR="00551331" w:rsidRPr="009C1299">
        <w:rPr>
          <w:rFonts w:ascii="Arial Narrow" w:hAnsi="Arial Narrow" w:cs="Tahoma"/>
          <w:sz w:val="24"/>
          <w:szCs w:val="24"/>
        </w:rPr>
        <w:t>del Congreso del Estado</w:t>
      </w:r>
      <w:r w:rsidR="00E30F63">
        <w:rPr>
          <w:rFonts w:ascii="Arial Narrow" w:hAnsi="Arial Narrow" w:cs="Tahoma"/>
          <w:sz w:val="24"/>
          <w:szCs w:val="24"/>
        </w:rPr>
        <w:t xml:space="preserve"> Libre y Soberano de Hidalgo.</w:t>
      </w:r>
    </w:p>
    <w:p w14:paraId="242F9766" w14:textId="4A3FF319" w:rsidR="0023593B" w:rsidRPr="009C1299" w:rsidRDefault="00551331" w:rsidP="00EC4A7F">
      <w:pPr>
        <w:tabs>
          <w:tab w:val="left" w:pos="0"/>
        </w:tabs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La Iniciativa de la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Ley de Ingresos de cada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 municipio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</w:t>
      </w:r>
      <w:r w:rsidR="006C6657">
        <w:rPr>
          <w:rFonts w:ascii="Arial Narrow" w:hAnsi="Arial Narrow" w:cs="Tahoma"/>
          <w:sz w:val="24"/>
          <w:szCs w:val="24"/>
        </w:rPr>
        <w:t>es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 </w:t>
      </w:r>
      <w:r w:rsidR="00CD1814" w:rsidRPr="009C1299">
        <w:rPr>
          <w:rFonts w:ascii="Arial Narrow" w:hAnsi="Arial Narrow" w:cs="Tahoma"/>
          <w:sz w:val="24"/>
          <w:szCs w:val="24"/>
        </w:rPr>
        <w:t>formula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da por </w:t>
      </w:r>
      <w:r w:rsidR="006C6657">
        <w:rPr>
          <w:rFonts w:ascii="Arial Narrow" w:hAnsi="Arial Narrow" w:cs="Tahoma"/>
          <w:sz w:val="24"/>
          <w:szCs w:val="24"/>
        </w:rPr>
        <w:t>e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l </w:t>
      </w:r>
      <w:r w:rsidR="006C6657">
        <w:rPr>
          <w:rFonts w:ascii="Arial Narrow" w:hAnsi="Arial Narrow" w:cs="Tahoma"/>
          <w:sz w:val="24"/>
          <w:szCs w:val="24"/>
        </w:rPr>
        <w:t>P</w:t>
      </w:r>
      <w:r w:rsidR="00537103" w:rsidRPr="009C1299">
        <w:rPr>
          <w:rFonts w:ascii="Arial Narrow" w:hAnsi="Arial Narrow" w:cs="Tahoma"/>
          <w:sz w:val="24"/>
          <w:szCs w:val="24"/>
        </w:rPr>
        <w:t>residente con apoyo de la Tesorería Municipal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y</w:t>
      </w:r>
      <w:r w:rsidR="00F44CDB">
        <w:rPr>
          <w:rFonts w:ascii="Arial Narrow" w:hAnsi="Arial Narrow" w:cs="Tahoma"/>
          <w:sz w:val="24"/>
          <w:szCs w:val="24"/>
        </w:rPr>
        <w:t xml:space="preserve"> es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aproba</w:t>
      </w:r>
      <w:r w:rsidR="00537103" w:rsidRPr="009C1299">
        <w:rPr>
          <w:rFonts w:ascii="Arial Narrow" w:hAnsi="Arial Narrow" w:cs="Tahoma"/>
          <w:sz w:val="24"/>
          <w:szCs w:val="24"/>
        </w:rPr>
        <w:t>da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</w:t>
      </w:r>
      <w:r w:rsidRPr="009C1299">
        <w:rPr>
          <w:rFonts w:ascii="Arial Narrow" w:hAnsi="Arial Narrow" w:cs="Tahoma"/>
          <w:sz w:val="24"/>
          <w:szCs w:val="24"/>
        </w:rPr>
        <w:t xml:space="preserve">por el </w:t>
      </w:r>
      <w:r w:rsidR="00537103" w:rsidRPr="009C1299">
        <w:rPr>
          <w:rFonts w:ascii="Arial Narrow" w:hAnsi="Arial Narrow" w:cs="Tahoma"/>
          <w:sz w:val="24"/>
          <w:szCs w:val="24"/>
        </w:rPr>
        <w:t>Ayuntamiento</w:t>
      </w:r>
      <w:r w:rsidRPr="009C1299">
        <w:rPr>
          <w:rFonts w:ascii="Arial Narrow" w:hAnsi="Arial Narrow" w:cs="Tahoma"/>
          <w:sz w:val="24"/>
          <w:szCs w:val="24"/>
        </w:rPr>
        <w:t xml:space="preserve"> </w:t>
      </w:r>
      <w:r w:rsidR="00CD1814" w:rsidRPr="009C1299">
        <w:rPr>
          <w:rFonts w:ascii="Arial Narrow" w:hAnsi="Arial Narrow" w:cs="Tahoma"/>
          <w:sz w:val="24"/>
          <w:szCs w:val="24"/>
        </w:rPr>
        <w:t>en el mes de octubre de cada año</w:t>
      </w:r>
      <w:r w:rsidR="00F44CDB">
        <w:rPr>
          <w:rFonts w:ascii="Arial Narrow" w:hAnsi="Arial Narrow" w:cs="Tahoma"/>
          <w:sz w:val="24"/>
          <w:szCs w:val="24"/>
        </w:rPr>
        <w:t xml:space="preserve"> la cual se debe de remitir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al Congreso del Estado</w:t>
      </w:r>
      <w:r w:rsidR="00F44CDB">
        <w:rPr>
          <w:rFonts w:ascii="Arial Narrow" w:hAnsi="Arial Narrow" w:cs="Tahoma"/>
          <w:sz w:val="24"/>
          <w:szCs w:val="24"/>
        </w:rPr>
        <w:t xml:space="preserve"> Libre y Soberano de Hidalgo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a más tardar el quince de noviembre siguiente</w:t>
      </w:r>
      <w:r w:rsidR="005F114B">
        <w:rPr>
          <w:rFonts w:ascii="Arial Narrow" w:hAnsi="Arial Narrow" w:cs="Tahoma"/>
          <w:sz w:val="24"/>
          <w:szCs w:val="24"/>
        </w:rPr>
        <w:t>;</w:t>
      </w:r>
      <w:r w:rsidRPr="009C1299">
        <w:rPr>
          <w:rFonts w:ascii="Arial Narrow" w:hAnsi="Arial Narrow" w:cs="Tahoma"/>
          <w:sz w:val="24"/>
          <w:szCs w:val="24"/>
        </w:rPr>
        <w:t xml:space="preserve"> </w:t>
      </w:r>
      <w:r w:rsidR="00537103" w:rsidRPr="009C1299">
        <w:rPr>
          <w:rFonts w:ascii="Arial Narrow" w:hAnsi="Arial Narrow" w:cs="Tahoma"/>
          <w:sz w:val="24"/>
          <w:szCs w:val="24"/>
        </w:rPr>
        <w:t>dicho proyecto debe contener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las cuotas y tarifas aplicables a impuestos, derechos, productos, aprovechamientos, contribuciones de mejoras y las tablas de valores unitarios de suelo y </w:t>
      </w:r>
      <w:r w:rsidRPr="009C1299">
        <w:rPr>
          <w:rFonts w:ascii="Arial Narrow" w:hAnsi="Arial Narrow" w:cs="Tahoma"/>
          <w:sz w:val="24"/>
          <w:szCs w:val="24"/>
        </w:rPr>
        <w:t>construcciones que sirv</w:t>
      </w:r>
      <w:r w:rsidR="005F114B">
        <w:rPr>
          <w:rFonts w:ascii="Arial Narrow" w:hAnsi="Arial Narrow" w:cs="Tahoma"/>
          <w:sz w:val="24"/>
          <w:szCs w:val="24"/>
        </w:rPr>
        <w:t xml:space="preserve">en </w:t>
      </w:r>
      <w:r w:rsidRPr="009C1299">
        <w:rPr>
          <w:rFonts w:ascii="Arial Narrow" w:hAnsi="Arial Narrow" w:cs="Tahoma"/>
          <w:sz w:val="24"/>
          <w:szCs w:val="24"/>
        </w:rPr>
        <w:t>de base para el cobro de las contribuciones sobre la propiedad inmobiliaria; así como las tasas de las contribuciones adicionales.</w:t>
      </w:r>
    </w:p>
    <w:p w14:paraId="50CFE3AB" w14:textId="46E3A1ED" w:rsidR="00551331" w:rsidRPr="009C1299" w:rsidRDefault="00551331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 xml:space="preserve">El Artículo 31 fracción IV de </w:t>
      </w:r>
      <w:r w:rsidR="00F44CDB">
        <w:rPr>
          <w:rFonts w:ascii="Arial Narrow" w:hAnsi="Arial Narrow" w:cs="Tahoma"/>
          <w:sz w:val="24"/>
          <w:szCs w:val="24"/>
        </w:rPr>
        <w:t xml:space="preserve">la </w:t>
      </w:r>
      <w:r w:rsidRPr="009C1299">
        <w:rPr>
          <w:rFonts w:ascii="Arial Narrow" w:hAnsi="Arial Narrow" w:cs="Tahoma"/>
          <w:sz w:val="24"/>
          <w:szCs w:val="24"/>
        </w:rPr>
        <w:t>Constitución Política de los Estado</w:t>
      </w:r>
      <w:r w:rsidR="00F44CDB">
        <w:rPr>
          <w:rFonts w:ascii="Arial Narrow" w:hAnsi="Arial Narrow" w:cs="Tahoma"/>
          <w:sz w:val="24"/>
          <w:szCs w:val="24"/>
        </w:rPr>
        <w:t>s</w:t>
      </w:r>
      <w:r w:rsidRPr="009C1299">
        <w:rPr>
          <w:rFonts w:ascii="Arial Narrow" w:hAnsi="Arial Narrow" w:cs="Tahoma"/>
          <w:sz w:val="24"/>
          <w:szCs w:val="24"/>
        </w:rPr>
        <w:t xml:space="preserve"> Unidos Mexicanos menciona </w:t>
      </w:r>
      <w:r w:rsidR="00956978" w:rsidRPr="009C1299">
        <w:rPr>
          <w:rFonts w:ascii="Arial Narrow" w:hAnsi="Arial Narrow" w:cs="Tahoma"/>
          <w:sz w:val="24"/>
          <w:szCs w:val="24"/>
        </w:rPr>
        <w:t>que es obligación de los mexicanos contribuir para los gastos públicos, así de la Federación, como de los Estados, de la Ciudad de México y del Municipio en que residan, de la manera proporcional y equitativa que dispongan las leyes.</w:t>
      </w:r>
    </w:p>
    <w:p w14:paraId="525DF920" w14:textId="77777777" w:rsidR="00DB2A68" w:rsidRPr="009C1299" w:rsidRDefault="00DB2A68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A2B30F0" w14:textId="77777777" w:rsidR="00DB2A68" w:rsidRPr="009C1299" w:rsidRDefault="00DB2A68" w:rsidP="00DB2A68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Las finanzas públicas determinan la capacidad de atender las necesidades y demandas de la población de manera oportuna y eficiente, así como el desarrollo de infraestructura del Municipio para gozar de una mejor calidad de vida y un mayor crecimiento económico, por lo tanto los ingresos que se recauden provenientes de la estimación establecida en la Iniciativa de Ley de Ingresos se destinarán a sufragar los gastos públicos establecidos y autorizados en el Presupuesto de Egresos Municipal para el mismo ejercicio fiscal, atendiendo lo dispuesto en los convenios de coordinación, lineamientos, reglas de Operación y demás normativa aplicable.</w:t>
      </w:r>
    </w:p>
    <w:p w14:paraId="6601721A" w14:textId="2C5BF9EA" w:rsidR="00EF6EF2" w:rsidRDefault="00EF6EF2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 xml:space="preserve">La Iniciativa de Ley de Ingresos tiene por objeto estimar los ingresos a recaudar durante un ejercicio </w:t>
      </w:r>
      <w:r w:rsidR="007C153D" w:rsidRPr="009C1299">
        <w:rPr>
          <w:rFonts w:ascii="Arial Narrow" w:hAnsi="Arial Narrow" w:cs="Tahoma"/>
          <w:sz w:val="24"/>
          <w:szCs w:val="24"/>
        </w:rPr>
        <w:t xml:space="preserve">fiscal y establecer </w:t>
      </w:r>
      <w:r w:rsidRPr="009C1299">
        <w:rPr>
          <w:rFonts w:ascii="Arial Narrow" w:hAnsi="Arial Narrow" w:cs="Tahoma"/>
          <w:sz w:val="24"/>
          <w:szCs w:val="24"/>
        </w:rPr>
        <w:t>las cuotas, tarifas, tablas de valores y demás elementos necesarios para el cobro de las contribuciones dentro del Municipio</w:t>
      </w:r>
      <w:r w:rsidR="004A239B">
        <w:rPr>
          <w:rFonts w:ascii="Arial Narrow" w:hAnsi="Arial Narrow" w:cs="Tahoma"/>
          <w:sz w:val="24"/>
          <w:szCs w:val="24"/>
        </w:rPr>
        <w:t xml:space="preserve"> de Tenango de Doria </w:t>
      </w:r>
      <w:r w:rsidR="007C153D" w:rsidRPr="009C1299">
        <w:rPr>
          <w:rFonts w:ascii="Arial Narrow" w:hAnsi="Arial Narrow" w:cs="Tahoma"/>
          <w:sz w:val="24"/>
          <w:szCs w:val="24"/>
        </w:rPr>
        <w:t>conforme lo establecido en la Ley de Hacienda para los Municipios del Estado de Hidalgo.</w:t>
      </w:r>
    </w:p>
    <w:p w14:paraId="611C57DD" w14:textId="77777777" w:rsidR="00F44CDB" w:rsidRPr="009C1299" w:rsidRDefault="00F44CDB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E95F84A" w14:textId="44F70FB8" w:rsidR="00F44CDB" w:rsidRPr="009C1299" w:rsidRDefault="00F44CD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 xml:space="preserve">Los ingresos </w:t>
      </w:r>
      <w:r w:rsidR="007E3C2A">
        <w:rPr>
          <w:rFonts w:ascii="Arial Narrow" w:hAnsi="Arial Narrow" w:cs="Tahoma"/>
          <w:sz w:val="24"/>
          <w:szCs w:val="24"/>
        </w:rPr>
        <w:t xml:space="preserve">estimados </w:t>
      </w:r>
      <w:r w:rsidRPr="009C1299">
        <w:rPr>
          <w:rFonts w:ascii="Arial Narrow" w:hAnsi="Arial Narrow" w:cs="Tahoma"/>
          <w:sz w:val="24"/>
          <w:szCs w:val="24"/>
        </w:rPr>
        <w:t>a recaudar durante el ejercicio fiscal</w:t>
      </w:r>
      <w:r w:rsidR="004A239B">
        <w:rPr>
          <w:rFonts w:ascii="Arial Narrow" w:hAnsi="Arial Narrow" w:cs="Tahoma"/>
          <w:sz w:val="24"/>
          <w:szCs w:val="24"/>
        </w:rPr>
        <w:t xml:space="preserve"> 202</w:t>
      </w:r>
      <w:r w:rsidR="001A7640">
        <w:rPr>
          <w:rFonts w:ascii="Arial Narrow" w:hAnsi="Arial Narrow" w:cs="Tahoma"/>
          <w:sz w:val="24"/>
          <w:szCs w:val="24"/>
        </w:rPr>
        <w:t>5</w:t>
      </w:r>
      <w:r w:rsidRPr="009C1299">
        <w:rPr>
          <w:rFonts w:ascii="Arial Narrow" w:hAnsi="Arial Narrow" w:cs="Tahoma"/>
          <w:sz w:val="24"/>
          <w:szCs w:val="24"/>
        </w:rPr>
        <w:t xml:space="preserve"> corresponden a la cantidad de </w:t>
      </w:r>
      <w:r w:rsidR="00E06A0A">
        <w:rPr>
          <w:rFonts w:ascii="Arial Narrow" w:hAnsi="Arial Narrow" w:cs="Tahoma"/>
          <w:sz w:val="24"/>
          <w:szCs w:val="24"/>
        </w:rPr>
        <w:t xml:space="preserve">                      </w:t>
      </w:r>
      <w:r w:rsidR="00BC2FE7" w:rsidRPr="00BC2FE7">
        <w:rPr>
          <w:rFonts w:ascii="Arial Narrow" w:hAnsi="Arial Narrow" w:cs="Tahoma"/>
          <w:b/>
          <w:bCs/>
          <w:sz w:val="24"/>
          <w:szCs w:val="24"/>
        </w:rPr>
        <w:t xml:space="preserve">$   </w:t>
      </w:r>
      <w:r w:rsidR="009015E5" w:rsidRPr="009015E5">
        <w:rPr>
          <w:rFonts w:ascii="Arial Narrow" w:hAnsi="Arial Narrow" w:cs="Tahoma"/>
          <w:b/>
          <w:bCs/>
          <w:sz w:val="24"/>
          <w:szCs w:val="24"/>
        </w:rPr>
        <w:t>108,795,273.0</w:t>
      </w:r>
      <w:r w:rsidR="009015E5" w:rsidRPr="009015E5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454B14">
        <w:rPr>
          <w:rFonts w:ascii="Arial Narrow" w:hAnsi="Arial Narrow" w:cs="Tahoma"/>
          <w:b/>
          <w:bCs/>
          <w:sz w:val="24"/>
          <w:szCs w:val="24"/>
        </w:rPr>
        <w:t>(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Ciento </w:t>
      </w:r>
      <w:r w:rsidR="009015E5">
        <w:rPr>
          <w:rFonts w:ascii="Arial Narrow" w:hAnsi="Arial Narrow" w:cs="Tahoma"/>
          <w:b/>
          <w:bCs/>
          <w:sz w:val="24"/>
          <w:szCs w:val="24"/>
        </w:rPr>
        <w:t>ocho</w:t>
      </w:r>
      <w:r w:rsidR="004A239B" w:rsidRPr="00454B14">
        <w:rPr>
          <w:rFonts w:ascii="Arial Narrow" w:hAnsi="Arial Narrow" w:cs="Tahoma"/>
          <w:b/>
          <w:bCs/>
          <w:sz w:val="24"/>
          <w:szCs w:val="24"/>
        </w:rPr>
        <w:t xml:space="preserve"> millones </w:t>
      </w:r>
      <w:r w:rsidR="009015E5">
        <w:rPr>
          <w:rFonts w:ascii="Arial Narrow" w:hAnsi="Arial Narrow" w:cs="Tahoma"/>
          <w:b/>
          <w:bCs/>
          <w:sz w:val="24"/>
          <w:szCs w:val="24"/>
        </w:rPr>
        <w:t>setecientos</w:t>
      </w:r>
      <w:r w:rsidR="002D2C09" w:rsidRPr="00454B14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9015E5">
        <w:rPr>
          <w:rFonts w:ascii="Arial Narrow" w:hAnsi="Arial Narrow" w:cs="Tahoma"/>
          <w:b/>
          <w:bCs/>
          <w:sz w:val="24"/>
          <w:szCs w:val="24"/>
        </w:rPr>
        <w:t>noventa</w:t>
      </w:r>
      <w:r w:rsidR="002D2C09" w:rsidRPr="00454B14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BC2FE7">
        <w:rPr>
          <w:rFonts w:ascii="Arial Narrow" w:hAnsi="Arial Narrow" w:cs="Tahoma"/>
          <w:b/>
          <w:bCs/>
          <w:sz w:val="24"/>
          <w:szCs w:val="24"/>
        </w:rPr>
        <w:t xml:space="preserve">y </w:t>
      </w:r>
      <w:r w:rsidR="009015E5">
        <w:rPr>
          <w:rFonts w:ascii="Arial Narrow" w:hAnsi="Arial Narrow" w:cs="Tahoma"/>
          <w:b/>
          <w:bCs/>
          <w:sz w:val="24"/>
          <w:szCs w:val="24"/>
        </w:rPr>
        <w:t>cinco</w:t>
      </w:r>
      <w:r w:rsidR="00BC2FE7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mil </w:t>
      </w:r>
      <w:r w:rsidR="009015E5">
        <w:rPr>
          <w:rFonts w:ascii="Arial Narrow" w:hAnsi="Arial Narrow" w:cs="Tahoma"/>
          <w:b/>
          <w:bCs/>
          <w:sz w:val="24"/>
          <w:szCs w:val="24"/>
        </w:rPr>
        <w:t>doscientos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BC2FE7">
        <w:rPr>
          <w:rFonts w:ascii="Arial Narrow" w:hAnsi="Arial Narrow" w:cs="Tahoma"/>
          <w:b/>
          <w:bCs/>
          <w:sz w:val="24"/>
          <w:szCs w:val="24"/>
        </w:rPr>
        <w:t>setenta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 y </w:t>
      </w:r>
      <w:r w:rsidR="009015E5">
        <w:rPr>
          <w:rFonts w:ascii="Arial Narrow" w:hAnsi="Arial Narrow" w:cs="Tahoma"/>
          <w:b/>
          <w:bCs/>
          <w:sz w:val="24"/>
          <w:szCs w:val="24"/>
        </w:rPr>
        <w:t>tres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BB615A" w:rsidRPr="00454B14">
        <w:rPr>
          <w:rFonts w:ascii="Arial Narrow" w:hAnsi="Arial Narrow" w:cs="Tahoma"/>
          <w:b/>
          <w:bCs/>
          <w:sz w:val="24"/>
          <w:szCs w:val="24"/>
        </w:rPr>
        <w:t>pesos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6E0BD1" w:rsidRPr="00454B14">
        <w:rPr>
          <w:rFonts w:ascii="Arial Narrow" w:hAnsi="Arial Narrow" w:cs="Tahoma"/>
          <w:b/>
          <w:bCs/>
          <w:sz w:val="24"/>
          <w:szCs w:val="24"/>
        </w:rPr>
        <w:t>00/100</w:t>
      </w:r>
      <w:r w:rsidR="004D291F">
        <w:rPr>
          <w:rFonts w:ascii="Arial Narrow" w:hAnsi="Arial Narrow" w:cs="Tahoma"/>
          <w:b/>
          <w:bCs/>
          <w:sz w:val="24"/>
          <w:szCs w:val="24"/>
        </w:rPr>
        <w:t xml:space="preserve"> M.N.</w:t>
      </w:r>
      <w:r w:rsidR="006E0BD1" w:rsidRPr="00454B14">
        <w:rPr>
          <w:rFonts w:ascii="Arial Narrow" w:hAnsi="Arial Narrow" w:cs="Tahoma"/>
          <w:b/>
          <w:bCs/>
          <w:sz w:val="24"/>
          <w:szCs w:val="24"/>
        </w:rPr>
        <w:t>).</w:t>
      </w:r>
    </w:p>
    <w:p w14:paraId="608346A8" w14:textId="77777777" w:rsidR="00EF6EF2" w:rsidRPr="009C1299" w:rsidRDefault="00EF6EF2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1618775" w14:textId="3D01FF26" w:rsidR="00296B4E" w:rsidRDefault="003A7F1A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664E7">
        <w:rPr>
          <w:rFonts w:ascii="Arial Narrow" w:hAnsi="Arial Narrow" w:cs="Tahoma"/>
          <w:sz w:val="24"/>
          <w:szCs w:val="24"/>
        </w:rPr>
        <w:t xml:space="preserve">Las propuestas de cambios respecto a la Ley de Ingresos vigente son considerables para una mayor recaudación </w:t>
      </w:r>
      <w:r w:rsidR="00E00FBF" w:rsidRPr="000664E7">
        <w:rPr>
          <w:rFonts w:ascii="Arial Narrow" w:hAnsi="Arial Narrow" w:cs="Tahoma"/>
          <w:sz w:val="24"/>
          <w:szCs w:val="24"/>
        </w:rPr>
        <w:t xml:space="preserve">en el </w:t>
      </w:r>
      <w:r w:rsidR="007F2E83" w:rsidRPr="000664E7">
        <w:rPr>
          <w:rFonts w:ascii="Arial Narrow" w:hAnsi="Arial Narrow" w:cs="Tahoma"/>
          <w:sz w:val="24"/>
          <w:szCs w:val="24"/>
        </w:rPr>
        <w:t xml:space="preserve">municipio ya que debe ser uno de nuestros principales objetivos para una buena administración </w:t>
      </w:r>
      <w:r w:rsidR="00566A1D" w:rsidRPr="000664E7">
        <w:rPr>
          <w:rFonts w:ascii="Arial Narrow" w:hAnsi="Arial Narrow" w:cs="Tahoma"/>
          <w:sz w:val="24"/>
          <w:szCs w:val="24"/>
        </w:rPr>
        <w:t>municipal</w:t>
      </w:r>
      <w:r w:rsidR="007F2E83" w:rsidRPr="000664E7">
        <w:rPr>
          <w:rFonts w:ascii="Arial Narrow" w:hAnsi="Arial Narrow" w:cs="Tahoma"/>
          <w:sz w:val="24"/>
          <w:szCs w:val="24"/>
        </w:rPr>
        <w:t>. Se ha tomado</w:t>
      </w:r>
      <w:r w:rsidR="00E00FBF" w:rsidRPr="000664E7">
        <w:rPr>
          <w:rFonts w:ascii="Arial Narrow" w:hAnsi="Arial Narrow" w:cs="Tahoma"/>
          <w:sz w:val="24"/>
          <w:szCs w:val="24"/>
        </w:rPr>
        <w:t xml:space="preserve"> </w:t>
      </w:r>
      <w:r w:rsidR="007F2E83" w:rsidRPr="000664E7">
        <w:rPr>
          <w:rFonts w:ascii="Arial Narrow" w:hAnsi="Arial Narrow" w:cs="Tahoma"/>
          <w:sz w:val="24"/>
          <w:szCs w:val="24"/>
        </w:rPr>
        <w:t xml:space="preserve">en cuenta la capacidad económica de los habitantes y la capacidad que tiene la institución de prestar servicios de calidad, brindar seguridad </w:t>
      </w:r>
      <w:r w:rsidR="005B7BDD" w:rsidRPr="000664E7">
        <w:rPr>
          <w:rFonts w:ascii="Arial Narrow" w:hAnsi="Arial Narrow" w:cs="Tahoma"/>
          <w:sz w:val="24"/>
          <w:szCs w:val="24"/>
        </w:rPr>
        <w:t>y beneficios</w:t>
      </w:r>
      <w:r w:rsidR="007F2E83" w:rsidRPr="000664E7">
        <w:rPr>
          <w:rFonts w:ascii="Arial Narrow" w:hAnsi="Arial Narrow" w:cs="Tahoma"/>
          <w:sz w:val="24"/>
          <w:szCs w:val="24"/>
        </w:rPr>
        <w:t xml:space="preserve"> para la población en general.</w:t>
      </w:r>
      <w:r w:rsidR="0009257C">
        <w:rPr>
          <w:rFonts w:ascii="Arial Narrow" w:hAnsi="Arial Narrow" w:cs="Tahoma"/>
          <w:sz w:val="24"/>
          <w:szCs w:val="24"/>
        </w:rPr>
        <w:t xml:space="preserve"> </w:t>
      </w:r>
    </w:p>
    <w:p w14:paraId="504A3947" w14:textId="77777777" w:rsidR="0009257C" w:rsidRDefault="0009257C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04EB7B7" w14:textId="67B84292" w:rsidR="0009257C" w:rsidRDefault="0009257C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El incremento general a los ingresos es de un 4.98% anualizado, esto derivado al pronóstico de comportamiento de la inflación para 2025, ya que el </w:t>
      </w:r>
      <w:r w:rsidRPr="0009257C">
        <w:rPr>
          <w:rFonts w:ascii="Arial Narrow" w:hAnsi="Arial Narrow" w:cs="Tahoma"/>
          <w:sz w:val="24"/>
          <w:szCs w:val="24"/>
        </w:rPr>
        <w:t>Instituto Nacional de Estadística y Geografía (INEGI)</w:t>
      </w:r>
      <w:r>
        <w:rPr>
          <w:rFonts w:ascii="Arial Narrow" w:hAnsi="Arial Narrow" w:cs="Tahoma"/>
          <w:sz w:val="24"/>
          <w:szCs w:val="24"/>
        </w:rPr>
        <w:t>, en su última publicación e</w:t>
      </w:r>
      <w:r w:rsidRPr="0009257C">
        <w:rPr>
          <w:rFonts w:ascii="Arial Narrow" w:hAnsi="Arial Narrow" w:cs="Tahoma"/>
          <w:sz w:val="24"/>
          <w:szCs w:val="24"/>
        </w:rPr>
        <w:t xml:space="preserve">n junio de 2024, el INPC presentó un aumento de 0.38 % respecto al mes anterior. Con este resultado, la inflación general anual se ubicó en </w:t>
      </w:r>
      <w:r w:rsidRPr="0009257C">
        <w:rPr>
          <w:rFonts w:ascii="Arial Narrow" w:hAnsi="Arial Narrow" w:cs="Tahoma"/>
          <w:b/>
          <w:bCs/>
          <w:sz w:val="24"/>
          <w:szCs w:val="24"/>
        </w:rPr>
        <w:t>4.98</w:t>
      </w:r>
      <w:r w:rsidRPr="0009257C">
        <w:rPr>
          <w:rFonts w:ascii="Arial Narrow" w:hAnsi="Arial Narrow" w:cs="Tahoma"/>
          <w:sz w:val="24"/>
          <w:szCs w:val="24"/>
        </w:rPr>
        <w:t xml:space="preserve"> por ciento</w:t>
      </w:r>
      <w:r>
        <w:rPr>
          <w:rFonts w:ascii="Arial Narrow" w:hAnsi="Arial Narrow" w:cs="Tahoma"/>
          <w:sz w:val="24"/>
          <w:szCs w:val="24"/>
        </w:rPr>
        <w:t>.</w:t>
      </w:r>
    </w:p>
    <w:p w14:paraId="1BDBB348" w14:textId="2A4F92B3" w:rsidR="00C251AD" w:rsidRPr="00731C3A" w:rsidRDefault="00C251AD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63C4D134" w14:textId="10386E04" w:rsidR="00F44CDB" w:rsidRPr="009D7585" w:rsidRDefault="00731C3A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</w:t>
      </w:r>
      <w:r w:rsidR="00F44CDB" w:rsidRPr="009D7585">
        <w:rPr>
          <w:rFonts w:ascii="Arial Narrow" w:hAnsi="Arial Narrow" w:cs="Tahoma"/>
          <w:sz w:val="24"/>
          <w:szCs w:val="24"/>
        </w:rPr>
        <w:t>.- En el rubro de Derechos se establece lo siguiente:</w:t>
      </w:r>
    </w:p>
    <w:p w14:paraId="5A3E6C1E" w14:textId="77455D4E" w:rsidR="00E946B2" w:rsidRDefault="00E946B2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3B197365" w14:textId="7EE8D9D3" w:rsidR="00E946B2" w:rsidRDefault="009D7585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30B37">
        <w:rPr>
          <w:rFonts w:ascii="Arial Narrow" w:hAnsi="Arial Narrow" w:cs="Tahoma"/>
          <w:sz w:val="24"/>
          <w:szCs w:val="24"/>
        </w:rPr>
        <w:t xml:space="preserve">En el </w:t>
      </w:r>
      <w:r w:rsidRPr="00930B37">
        <w:rPr>
          <w:rFonts w:ascii="Arial Narrow" w:hAnsi="Arial Narrow" w:cs="Tahoma"/>
          <w:b/>
          <w:bCs/>
          <w:sz w:val="24"/>
          <w:szCs w:val="24"/>
        </w:rPr>
        <w:t>a</w:t>
      </w:r>
      <w:r w:rsidR="00E946B2" w:rsidRPr="00930B37">
        <w:rPr>
          <w:rFonts w:ascii="Arial Narrow" w:hAnsi="Arial Narrow" w:cs="Tahoma"/>
          <w:b/>
          <w:bCs/>
          <w:sz w:val="24"/>
          <w:szCs w:val="24"/>
        </w:rPr>
        <w:t>rtículo 11</w:t>
      </w:r>
      <w:r w:rsidR="00E946B2" w:rsidRPr="00930B37">
        <w:rPr>
          <w:rFonts w:ascii="Arial Narrow" w:hAnsi="Arial Narrow" w:cs="Tahoma"/>
          <w:sz w:val="24"/>
          <w:szCs w:val="24"/>
        </w:rPr>
        <w:t>. Los derechos por servicios de agua potable, se establecieron nuevas cuotas fijas</w:t>
      </w:r>
      <w:r w:rsidR="00FF5912" w:rsidRPr="00930B37">
        <w:rPr>
          <w:rFonts w:ascii="Arial Narrow" w:hAnsi="Arial Narrow" w:cs="Tahoma"/>
          <w:sz w:val="24"/>
          <w:szCs w:val="24"/>
        </w:rPr>
        <w:t xml:space="preserve"> por servicio doméstico</w:t>
      </w:r>
      <w:r w:rsidR="006253E2">
        <w:rPr>
          <w:rFonts w:ascii="Arial Narrow" w:hAnsi="Arial Narrow" w:cs="Tahoma"/>
          <w:sz w:val="24"/>
          <w:szCs w:val="24"/>
        </w:rPr>
        <w:t xml:space="preserve"> y por la instalación al sistema de agua potable</w:t>
      </w:r>
      <w:r w:rsidR="00FF5912" w:rsidRPr="00930B37">
        <w:rPr>
          <w:rFonts w:ascii="Arial Narrow" w:hAnsi="Arial Narrow" w:cs="Tahoma"/>
          <w:sz w:val="24"/>
          <w:szCs w:val="24"/>
        </w:rPr>
        <w:t xml:space="preserve"> </w:t>
      </w:r>
      <w:r w:rsidR="00E946B2" w:rsidRPr="00930B37">
        <w:rPr>
          <w:rFonts w:ascii="Arial Narrow" w:hAnsi="Arial Narrow" w:cs="Tahoma"/>
          <w:sz w:val="24"/>
          <w:szCs w:val="24"/>
        </w:rPr>
        <w:t>ya qu</w:t>
      </w:r>
      <w:r w:rsidR="006253E2">
        <w:rPr>
          <w:rFonts w:ascii="Arial Narrow" w:hAnsi="Arial Narrow" w:cs="Tahoma"/>
          <w:sz w:val="24"/>
          <w:szCs w:val="24"/>
        </w:rPr>
        <w:t xml:space="preserve">e relativamente el </w:t>
      </w:r>
      <w:r w:rsidR="00E946B2" w:rsidRPr="00930B37">
        <w:rPr>
          <w:rFonts w:ascii="Arial Narrow" w:hAnsi="Arial Narrow" w:cs="Tahoma"/>
          <w:sz w:val="24"/>
          <w:szCs w:val="24"/>
        </w:rPr>
        <w:t>cobro</w:t>
      </w:r>
      <w:r w:rsidR="006253E2">
        <w:rPr>
          <w:rFonts w:ascii="Arial Narrow" w:hAnsi="Arial Narrow" w:cs="Tahoma"/>
          <w:sz w:val="24"/>
          <w:szCs w:val="24"/>
        </w:rPr>
        <w:t xml:space="preserve"> es mínimo</w:t>
      </w:r>
      <w:r w:rsidR="00E946B2" w:rsidRPr="00930B37">
        <w:rPr>
          <w:rFonts w:ascii="Arial Narrow" w:hAnsi="Arial Narrow" w:cs="Tahoma"/>
          <w:sz w:val="24"/>
          <w:szCs w:val="24"/>
        </w:rPr>
        <w:t xml:space="preserve"> y sabiendo que</w:t>
      </w:r>
      <w:r w:rsidR="00CC7443" w:rsidRPr="00930B37">
        <w:rPr>
          <w:rFonts w:ascii="Arial Narrow" w:hAnsi="Arial Narrow" w:cs="Tahoma"/>
          <w:sz w:val="24"/>
          <w:szCs w:val="24"/>
        </w:rPr>
        <w:t xml:space="preserve"> </w:t>
      </w:r>
      <w:r w:rsidR="00A05EF5" w:rsidRPr="00930B37">
        <w:rPr>
          <w:rFonts w:ascii="Arial Narrow" w:hAnsi="Arial Narrow" w:cs="Tahoma"/>
          <w:sz w:val="24"/>
          <w:szCs w:val="24"/>
        </w:rPr>
        <w:t xml:space="preserve">requiere de la utilización de recurso humano y materiales para el mantenimiento de las tuberías de agua </w:t>
      </w:r>
      <w:r w:rsidR="00B4576A" w:rsidRPr="00930B37">
        <w:rPr>
          <w:rFonts w:ascii="Arial Narrow" w:hAnsi="Arial Narrow" w:cs="Tahoma"/>
          <w:sz w:val="24"/>
          <w:szCs w:val="24"/>
        </w:rPr>
        <w:t xml:space="preserve">desde su fuente hasta la toma domiciliaria. La ley de Hacienda para los Municipios del Estado de Hidalgo en su articulo 69 menciona que los montos correspondientes deberán </w:t>
      </w:r>
      <w:r w:rsidR="008674DD" w:rsidRPr="00930B37">
        <w:rPr>
          <w:rFonts w:ascii="Arial Narrow" w:hAnsi="Arial Narrow" w:cs="Tahoma"/>
          <w:sz w:val="24"/>
          <w:szCs w:val="24"/>
        </w:rPr>
        <w:t xml:space="preserve">estar determinados de conformidad con el Articulo 5 de esta misma ley que refiere a que se propondrá además las cuotas, tasas y tarifas que sirvan de base para el cobro de contribuciones sobre la propiedad inmobiliarias y en su articulo 6 nos dice que las cuotas para el cobro se calcularan hasta donde sea posible, en atención al costo de los servicios </w:t>
      </w:r>
      <w:r w:rsidR="00DE2DA8" w:rsidRPr="00930B37">
        <w:rPr>
          <w:rFonts w:ascii="Arial Narrow" w:hAnsi="Arial Narrow" w:cs="Tahoma"/>
          <w:sz w:val="24"/>
          <w:szCs w:val="24"/>
        </w:rPr>
        <w:t>preferenciando las fijas… y que deberán acreditarse al momento de su aplicación, los elementos de equidad y proporcionalidad de la contribución que justifiquen tal hecho.</w:t>
      </w:r>
    </w:p>
    <w:p w14:paraId="714C3EA9" w14:textId="77777777" w:rsidR="009015E5" w:rsidRDefault="009015E5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1808"/>
        <w:gridCol w:w="1809"/>
      </w:tblGrid>
      <w:tr w:rsidR="00930B37" w14:paraId="78F3DCD4" w14:textId="77777777" w:rsidTr="00151450">
        <w:trPr>
          <w:cantSplit/>
          <w:jc w:val="center"/>
        </w:trPr>
        <w:tc>
          <w:tcPr>
            <w:tcW w:w="4134" w:type="dxa"/>
          </w:tcPr>
          <w:p w14:paraId="73B86A1E" w14:textId="77777777" w:rsidR="00930B37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  <w:p w14:paraId="1D4B228C" w14:textId="77777777" w:rsidR="009015E5" w:rsidRDefault="009015E5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  <w:p w14:paraId="4F6F1850" w14:textId="77777777" w:rsidR="009015E5" w:rsidRDefault="009015E5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  <w:p w14:paraId="0AB35C2D" w14:textId="77777777" w:rsidR="009015E5" w:rsidRPr="00A61C2B" w:rsidRDefault="009015E5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1DE3D2A9" w14:textId="77777777" w:rsidR="00930B37" w:rsidRPr="00A61C2B" w:rsidRDefault="00930B37" w:rsidP="00151450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 w:eastAsia="es-ES"/>
              </w:rPr>
            </w:pPr>
            <w:r>
              <w:rPr>
                <w:rFonts w:ascii="Arial Narrow" w:hAnsi="Arial Narrow"/>
                <w:b/>
                <w:lang w:val="es-ES" w:eastAsia="es-ES"/>
              </w:rPr>
              <w:t>Cabecera municipal</w:t>
            </w:r>
          </w:p>
        </w:tc>
        <w:tc>
          <w:tcPr>
            <w:tcW w:w="1809" w:type="dxa"/>
          </w:tcPr>
          <w:p w14:paraId="48156C98" w14:textId="77777777" w:rsidR="00930B37" w:rsidRDefault="00930B37" w:rsidP="00151450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 w:eastAsia="es-ES"/>
              </w:rPr>
            </w:pPr>
            <w:r>
              <w:rPr>
                <w:rFonts w:ascii="Arial Narrow" w:hAnsi="Arial Narrow"/>
                <w:b/>
                <w:lang w:val="es-ES" w:eastAsia="es-ES"/>
              </w:rPr>
              <w:t>Comunidad $</w:t>
            </w:r>
          </w:p>
        </w:tc>
      </w:tr>
      <w:tr w:rsidR="00930B37" w:rsidRPr="00A61C2B" w14:paraId="6920B4BA" w14:textId="77777777" w:rsidTr="00151450">
        <w:trPr>
          <w:cantSplit/>
          <w:jc w:val="center"/>
        </w:trPr>
        <w:tc>
          <w:tcPr>
            <w:tcW w:w="4134" w:type="dxa"/>
          </w:tcPr>
          <w:p w14:paraId="3E6BBA82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45DEF30E" w14:textId="77777777" w:rsidR="00930B37" w:rsidRPr="00A61C2B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61C2B">
              <w:rPr>
                <w:rFonts w:ascii="Arial Narrow" w:hAnsi="Arial Narrow"/>
                <w:b/>
                <w:lang w:val="es-ES" w:eastAsia="es-ES"/>
              </w:rPr>
              <w:t>Cuota fija</w:t>
            </w:r>
            <w:r>
              <w:rPr>
                <w:rFonts w:ascii="Arial Narrow" w:hAnsi="Arial Narrow"/>
                <w:b/>
                <w:lang w:val="es-ES" w:eastAsia="es-ES"/>
              </w:rPr>
              <w:t xml:space="preserve"> $</w:t>
            </w:r>
          </w:p>
        </w:tc>
        <w:tc>
          <w:tcPr>
            <w:tcW w:w="1809" w:type="dxa"/>
          </w:tcPr>
          <w:p w14:paraId="151F3429" w14:textId="77777777" w:rsidR="00930B37" w:rsidRPr="00A61C2B" w:rsidRDefault="00930B37" w:rsidP="00151450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 w:eastAsia="es-ES"/>
              </w:rPr>
            </w:pPr>
            <w:r w:rsidRPr="00A61C2B">
              <w:rPr>
                <w:rFonts w:ascii="Arial Narrow" w:hAnsi="Arial Narrow"/>
                <w:b/>
                <w:lang w:val="es-ES" w:eastAsia="es-ES"/>
              </w:rPr>
              <w:t>Cuota fija</w:t>
            </w:r>
            <w:r>
              <w:rPr>
                <w:rFonts w:ascii="Arial Narrow" w:hAnsi="Arial Narrow"/>
                <w:b/>
                <w:lang w:val="es-ES" w:eastAsia="es-ES"/>
              </w:rPr>
              <w:t xml:space="preserve"> $</w:t>
            </w:r>
          </w:p>
        </w:tc>
      </w:tr>
      <w:tr w:rsidR="00930B37" w:rsidRPr="00A61C2B" w14:paraId="1F22819F" w14:textId="77777777" w:rsidTr="00151450">
        <w:trPr>
          <w:cantSplit/>
          <w:jc w:val="center"/>
        </w:trPr>
        <w:tc>
          <w:tcPr>
            <w:tcW w:w="4134" w:type="dxa"/>
          </w:tcPr>
          <w:p w14:paraId="26C22760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Servicio doméstico</w:t>
            </w:r>
          </w:p>
        </w:tc>
        <w:tc>
          <w:tcPr>
            <w:tcW w:w="1808" w:type="dxa"/>
          </w:tcPr>
          <w:p w14:paraId="016D659F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09" w:type="dxa"/>
          </w:tcPr>
          <w:p w14:paraId="5CE02CC6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930B37" w14:paraId="6C30C3D0" w14:textId="77777777" w:rsidTr="00151450">
        <w:trPr>
          <w:cantSplit/>
          <w:jc w:val="center"/>
        </w:trPr>
        <w:tc>
          <w:tcPr>
            <w:tcW w:w="4134" w:type="dxa"/>
          </w:tcPr>
          <w:p w14:paraId="09D37FF7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Toma sin medidor cuota fija mensual</w:t>
            </w:r>
          </w:p>
        </w:tc>
        <w:tc>
          <w:tcPr>
            <w:tcW w:w="1808" w:type="dxa"/>
          </w:tcPr>
          <w:p w14:paraId="11E0D9FC" w14:textId="785749CA" w:rsidR="00930B37" w:rsidRPr="00A61C2B" w:rsidRDefault="00731C3A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28</w:t>
            </w:r>
            <w:r w:rsidR="00930B37">
              <w:rPr>
                <w:rFonts w:ascii="Arial Narrow" w:hAnsi="Arial Narrow" w:cs="Tahoma"/>
              </w:rPr>
              <w:t>.</w:t>
            </w:r>
            <w:r w:rsidR="009015E5">
              <w:rPr>
                <w:rFonts w:ascii="Arial Narrow" w:hAnsi="Arial Narrow" w:cs="Tahoma"/>
              </w:rPr>
              <w:t>90</w:t>
            </w:r>
          </w:p>
        </w:tc>
        <w:tc>
          <w:tcPr>
            <w:tcW w:w="1809" w:type="dxa"/>
          </w:tcPr>
          <w:p w14:paraId="7A17554F" w14:textId="5206707D" w:rsidR="00930B37" w:rsidRDefault="009015E5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22</w:t>
            </w:r>
            <w:r w:rsidR="00930B37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6</w:t>
            </w:r>
            <w:r w:rsidR="00930B37">
              <w:rPr>
                <w:rFonts w:ascii="Arial Narrow" w:hAnsi="Arial Narrow" w:cs="Tahoma"/>
              </w:rPr>
              <w:t>0</w:t>
            </w:r>
          </w:p>
        </w:tc>
      </w:tr>
      <w:tr w:rsidR="00930B37" w14:paraId="393D3168" w14:textId="77777777" w:rsidTr="00151450">
        <w:trPr>
          <w:cantSplit/>
          <w:jc w:val="center"/>
        </w:trPr>
        <w:tc>
          <w:tcPr>
            <w:tcW w:w="4134" w:type="dxa"/>
          </w:tcPr>
          <w:p w14:paraId="25D4F62E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Pr="00A61C2B">
              <w:rPr>
                <w:rFonts w:ascii="Arial Narrow" w:hAnsi="Arial Narrow" w:cs="Tahoma"/>
              </w:rPr>
              <w:t>Toma con medidor hasta 15 m</w:t>
            </w:r>
            <w:r w:rsidRPr="00A61C2B">
              <w:rPr>
                <w:rFonts w:ascii="Arial Narrow" w:hAnsi="Arial Narrow" w:cs="Tahoma"/>
                <w:vertAlign w:val="superscript"/>
              </w:rPr>
              <w:t>3</w:t>
            </w:r>
            <w:r w:rsidRPr="00A61C2B">
              <w:rPr>
                <w:rFonts w:ascii="Arial Narrow" w:hAnsi="Arial Narrow" w:cs="Tahoma"/>
              </w:rPr>
              <w:t>.</w:t>
            </w:r>
          </w:p>
        </w:tc>
        <w:tc>
          <w:tcPr>
            <w:tcW w:w="1808" w:type="dxa"/>
          </w:tcPr>
          <w:p w14:paraId="75F500AC" w14:textId="252ABE83" w:rsidR="00930B37" w:rsidRPr="00A61C2B" w:rsidRDefault="009015E5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28.90</w:t>
            </w:r>
          </w:p>
        </w:tc>
        <w:tc>
          <w:tcPr>
            <w:tcW w:w="1809" w:type="dxa"/>
          </w:tcPr>
          <w:p w14:paraId="5327CF01" w14:textId="5DE4347D" w:rsidR="00930B37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  <w:r w:rsidR="00731C3A">
              <w:rPr>
                <w:rFonts w:ascii="Arial Narrow" w:hAnsi="Arial Narrow" w:cs="Tahoma"/>
              </w:rPr>
              <w:t>2</w:t>
            </w:r>
            <w:r>
              <w:rPr>
                <w:rFonts w:ascii="Arial Narrow" w:hAnsi="Arial Narrow" w:cs="Tahoma"/>
              </w:rPr>
              <w:t>.</w:t>
            </w:r>
            <w:r w:rsidR="009015E5">
              <w:rPr>
                <w:rFonts w:ascii="Arial Narrow" w:hAnsi="Arial Narrow" w:cs="Tahoma"/>
              </w:rPr>
              <w:t>6</w:t>
            </w:r>
            <w:r>
              <w:rPr>
                <w:rFonts w:ascii="Arial Narrow" w:hAnsi="Arial Narrow" w:cs="Tahoma"/>
              </w:rPr>
              <w:t>0</w:t>
            </w:r>
          </w:p>
        </w:tc>
      </w:tr>
      <w:tr w:rsidR="00930B37" w14:paraId="3C53B72B" w14:textId="77777777" w:rsidTr="00151450">
        <w:trPr>
          <w:cantSplit/>
          <w:jc w:val="center"/>
        </w:trPr>
        <w:tc>
          <w:tcPr>
            <w:tcW w:w="4134" w:type="dxa"/>
          </w:tcPr>
          <w:p w14:paraId="7B9D26AA" w14:textId="77777777" w:rsidR="00930B37" w:rsidRPr="00A61C2B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Pr="00A61C2B">
              <w:rPr>
                <w:rFonts w:ascii="Arial Narrow" w:hAnsi="Arial Narrow" w:cs="Tahoma"/>
              </w:rPr>
              <w:t>Por cada m</w:t>
            </w:r>
            <w:r w:rsidRPr="00A61C2B">
              <w:rPr>
                <w:rFonts w:ascii="Arial Narrow" w:hAnsi="Arial Narrow" w:cs="Tahoma"/>
                <w:vertAlign w:val="superscript"/>
              </w:rPr>
              <w:t>3</w:t>
            </w:r>
            <w:r w:rsidRPr="00A61C2B">
              <w:rPr>
                <w:rFonts w:ascii="Arial Narrow" w:hAnsi="Arial Narrow" w:cs="Tahoma"/>
              </w:rPr>
              <w:t xml:space="preserve"> consumido después de los 15 m</w:t>
            </w:r>
            <w:r w:rsidRPr="00A61C2B">
              <w:rPr>
                <w:rFonts w:ascii="Arial Narrow" w:hAnsi="Arial Narrow" w:cs="Tahoma"/>
                <w:vertAlign w:val="superscript"/>
              </w:rPr>
              <w:t>3</w:t>
            </w:r>
            <w:r w:rsidRPr="00A61C2B">
              <w:rPr>
                <w:rFonts w:ascii="Arial Narrow" w:hAnsi="Arial Narrow" w:cs="Tahoma"/>
              </w:rPr>
              <w:t>.</w:t>
            </w:r>
          </w:p>
        </w:tc>
        <w:tc>
          <w:tcPr>
            <w:tcW w:w="1808" w:type="dxa"/>
          </w:tcPr>
          <w:p w14:paraId="56E13753" w14:textId="74965E9D" w:rsidR="00930B37" w:rsidRPr="00A61C2B" w:rsidRDefault="009015E5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2.10</w:t>
            </w:r>
          </w:p>
        </w:tc>
        <w:tc>
          <w:tcPr>
            <w:tcW w:w="1809" w:type="dxa"/>
          </w:tcPr>
          <w:p w14:paraId="191456D4" w14:textId="2B1C0B54" w:rsidR="00930B37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  <w:r w:rsidR="009015E5">
              <w:rPr>
                <w:rFonts w:ascii="Arial Narrow" w:hAnsi="Arial Narrow" w:cs="Tahoma"/>
              </w:rPr>
              <w:t>10</w:t>
            </w:r>
          </w:p>
        </w:tc>
      </w:tr>
    </w:tbl>
    <w:p w14:paraId="748F073E" w14:textId="39C1B038" w:rsidR="00930B37" w:rsidRDefault="00930B37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69224D1" w14:textId="77777777" w:rsidR="00930B37" w:rsidRDefault="00930B37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2F0B5E1D" w14:textId="77777777" w:rsidR="00930B37" w:rsidRPr="00930B37" w:rsidRDefault="00930B37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5D64AE4A" w14:textId="0A733491" w:rsidR="00B23214" w:rsidRPr="00917F8F" w:rsidRDefault="00BC6ADE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17F8F">
        <w:rPr>
          <w:rFonts w:ascii="Arial Narrow" w:hAnsi="Arial Narrow" w:cs="Tahoma"/>
          <w:sz w:val="24"/>
          <w:szCs w:val="24"/>
        </w:rPr>
        <w:t xml:space="preserve">En el </w:t>
      </w:r>
      <w:r w:rsidR="007A1CD6" w:rsidRPr="00917F8F">
        <w:rPr>
          <w:rFonts w:ascii="Arial Narrow" w:hAnsi="Arial Narrow" w:cs="Tahoma"/>
          <w:b/>
          <w:bCs/>
          <w:sz w:val="24"/>
          <w:szCs w:val="24"/>
        </w:rPr>
        <w:t>A</w:t>
      </w:r>
      <w:r w:rsidR="00AE4E65" w:rsidRPr="00917F8F">
        <w:rPr>
          <w:rFonts w:ascii="Arial Narrow" w:hAnsi="Arial Narrow" w:cs="Tahoma"/>
          <w:b/>
          <w:bCs/>
          <w:sz w:val="24"/>
          <w:szCs w:val="24"/>
        </w:rPr>
        <w:t>rtículo</w:t>
      </w:r>
      <w:r w:rsidRPr="00917F8F">
        <w:rPr>
          <w:rFonts w:ascii="Arial Narrow" w:hAnsi="Arial Narrow" w:cs="Tahoma"/>
          <w:b/>
          <w:bCs/>
          <w:sz w:val="24"/>
          <w:szCs w:val="24"/>
        </w:rPr>
        <w:t xml:space="preserve"> 13</w:t>
      </w:r>
      <w:r w:rsidRPr="00917F8F">
        <w:rPr>
          <w:rFonts w:ascii="Arial Narrow" w:hAnsi="Arial Narrow" w:cs="Tahoma"/>
          <w:sz w:val="24"/>
          <w:szCs w:val="24"/>
        </w:rPr>
        <w:t xml:space="preserve">. Los derechos por uso de rastro, guarda y matanza de ganado, se incrementa las cuotas </w:t>
      </w:r>
      <w:r w:rsidR="00E276BC" w:rsidRPr="00917F8F">
        <w:rPr>
          <w:rFonts w:ascii="Arial Narrow" w:hAnsi="Arial Narrow" w:cs="Tahoma"/>
          <w:sz w:val="24"/>
          <w:szCs w:val="24"/>
        </w:rPr>
        <w:t xml:space="preserve">por derechos de registro, refrendo y revisión </w:t>
      </w:r>
      <w:r w:rsidRPr="00917F8F">
        <w:rPr>
          <w:rFonts w:ascii="Arial Narrow" w:hAnsi="Arial Narrow" w:cs="Tahoma"/>
          <w:sz w:val="24"/>
          <w:szCs w:val="24"/>
        </w:rPr>
        <w:t xml:space="preserve">de fierros para marcar ganado y magueyes, también se integran nuevos conceptos </w:t>
      </w:r>
      <w:r w:rsidR="00917F8F" w:rsidRPr="00917F8F">
        <w:rPr>
          <w:rFonts w:ascii="Arial Narrow" w:hAnsi="Arial Narrow" w:cs="Tahoma"/>
          <w:sz w:val="24"/>
          <w:szCs w:val="24"/>
        </w:rPr>
        <w:t>por</w:t>
      </w:r>
      <w:r w:rsidR="00925ABC" w:rsidRPr="00917F8F">
        <w:rPr>
          <w:rFonts w:ascii="Arial Narrow" w:hAnsi="Arial Narrow" w:cs="Tahoma"/>
          <w:sz w:val="24"/>
          <w:szCs w:val="24"/>
        </w:rPr>
        <w:t xml:space="preserve"> </w:t>
      </w:r>
      <w:r w:rsidR="00917F8F" w:rsidRPr="00917F8F">
        <w:rPr>
          <w:rFonts w:ascii="Arial Narrow" w:hAnsi="Arial Narrow" w:cs="Tahoma"/>
          <w:sz w:val="24"/>
          <w:szCs w:val="24"/>
        </w:rPr>
        <w:t>trámites</w:t>
      </w:r>
      <w:r w:rsidR="00925ABC" w:rsidRPr="00917F8F">
        <w:rPr>
          <w:rFonts w:ascii="Arial Narrow" w:hAnsi="Arial Narrow" w:cs="Tahoma"/>
          <w:sz w:val="24"/>
          <w:szCs w:val="24"/>
        </w:rPr>
        <w:t xml:space="preserve"> necesarios de llevar en el área de desarrollo agropecuario</w:t>
      </w:r>
      <w:r w:rsidR="00841A8B" w:rsidRPr="00917F8F">
        <w:rPr>
          <w:rFonts w:ascii="Arial Narrow" w:hAnsi="Arial Narrow" w:cs="Tahoma"/>
          <w:sz w:val="24"/>
          <w:szCs w:val="24"/>
        </w:rPr>
        <w:t>. La Ley de Desarrollo Pecuario para el Estado de Hidalgo en sus artículos 22, 23, 29 y 32 nos menciona que todo propietario tiene la obligación de registrar su unidad de producción pecuaria, marcar sus animales y acreditar su propiedad,</w:t>
      </w:r>
      <w:r w:rsidR="0045081F" w:rsidRPr="00917F8F">
        <w:rPr>
          <w:rFonts w:ascii="Arial Narrow" w:hAnsi="Arial Narrow" w:cs="Tahoma"/>
          <w:sz w:val="24"/>
          <w:szCs w:val="24"/>
        </w:rPr>
        <w:t xml:space="preserve"> y estos se acreditarán </w:t>
      </w:r>
      <w:r w:rsidR="00917F8F" w:rsidRPr="00917F8F">
        <w:rPr>
          <w:rFonts w:ascii="Arial Narrow" w:hAnsi="Arial Narrow" w:cs="Tahoma"/>
          <w:sz w:val="24"/>
          <w:szCs w:val="24"/>
        </w:rPr>
        <w:t>con documentos legales reconocidos por autoridades municipales, estatales o federales. De propietarios que hayan adquirido mediante compraventa, deberán acreditar la procedencia de las especies mediante factura o documentos de transmisión de propiedad la cual el ayuntamiento es quien les proporciona ese documento oficial. Cuando por cualquier motivo el productor pretenda cambiar o dejar de utilizar un medio de identificación, deberá promover la cancelación de su registro para proceder a realizar las modificaciones el en el libro de registros respectivo.</w:t>
      </w:r>
    </w:p>
    <w:p w14:paraId="7B7BD32F" w14:textId="77777777" w:rsidR="00B23214" w:rsidRDefault="00B23214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tbl>
      <w:tblPr>
        <w:tblW w:w="7796" w:type="dxa"/>
        <w:tblInd w:w="1101" w:type="dxa"/>
        <w:tblLook w:val="04A0" w:firstRow="1" w:lastRow="0" w:firstColumn="1" w:lastColumn="0" w:noHBand="0" w:noVBand="1"/>
      </w:tblPr>
      <w:tblGrid>
        <w:gridCol w:w="5953"/>
        <w:gridCol w:w="1843"/>
      </w:tblGrid>
      <w:tr w:rsidR="00917F8F" w:rsidRPr="00A61C2B" w14:paraId="19E46C80" w14:textId="77777777" w:rsidTr="00151450">
        <w:trPr>
          <w:trHeight w:val="20"/>
        </w:trPr>
        <w:tc>
          <w:tcPr>
            <w:tcW w:w="5953" w:type="dxa"/>
          </w:tcPr>
          <w:p w14:paraId="6412CD52" w14:textId="77777777" w:rsidR="00917F8F" w:rsidRPr="00A61C2B" w:rsidRDefault="00917F8F" w:rsidP="00151450">
            <w:pPr>
              <w:spacing w:after="0" w:line="240" w:lineRule="auto"/>
              <w:jc w:val="both"/>
              <w:rPr>
                <w:rFonts w:ascii="Arial Narrow" w:hAnsi="Arial Narrow" w:cs="Tahoma"/>
                <w:lang w:eastAsia="es-MX"/>
              </w:rPr>
            </w:pPr>
            <w:r w:rsidRPr="00A61C2B">
              <w:rPr>
                <w:rFonts w:ascii="Arial Narrow" w:hAnsi="Arial Narrow" w:cs="Tahoma"/>
                <w:b/>
                <w:lang w:eastAsia="es-MX"/>
              </w:rPr>
              <w:t>Fierros para marcar ganado y magueyes</w:t>
            </w:r>
          </w:p>
        </w:tc>
        <w:tc>
          <w:tcPr>
            <w:tcW w:w="1843" w:type="dxa"/>
            <w:vAlign w:val="center"/>
          </w:tcPr>
          <w:p w14:paraId="405BB967" w14:textId="77777777" w:rsidR="00917F8F" w:rsidRPr="00A61C2B" w:rsidRDefault="00917F8F" w:rsidP="00151450">
            <w:pPr>
              <w:spacing w:after="0" w:line="240" w:lineRule="auto"/>
              <w:jc w:val="center"/>
              <w:rPr>
                <w:rFonts w:ascii="Arial Narrow" w:hAnsi="Arial Narrow" w:cs="Tahoma"/>
                <w:lang w:eastAsia="es-MX"/>
              </w:rPr>
            </w:pPr>
          </w:p>
        </w:tc>
      </w:tr>
      <w:tr w:rsidR="00917F8F" w:rsidRPr="00E96E85" w14:paraId="750702D5" w14:textId="77777777" w:rsidTr="00151450">
        <w:trPr>
          <w:trHeight w:val="20"/>
        </w:trPr>
        <w:tc>
          <w:tcPr>
            <w:tcW w:w="5953" w:type="dxa"/>
          </w:tcPr>
          <w:p w14:paraId="6B233A4C" w14:textId="77777777" w:rsidR="00917F8F" w:rsidRPr="00917F8F" w:rsidRDefault="00917F8F" w:rsidP="00151450">
            <w:pPr>
              <w:spacing w:after="0" w:line="240" w:lineRule="auto"/>
              <w:jc w:val="both"/>
              <w:rPr>
                <w:rFonts w:ascii="Arial Narrow" w:hAnsi="Arial Narrow" w:cs="Tahoma"/>
                <w:lang w:eastAsia="es-MX"/>
              </w:rPr>
            </w:pPr>
            <w:r w:rsidRPr="00917F8F">
              <w:rPr>
                <w:rFonts w:ascii="Arial Narrow" w:hAnsi="Arial Narrow" w:cs="Tahoma"/>
                <w:lang w:eastAsia="es-MX"/>
              </w:rPr>
              <w:t xml:space="preserve">     Derechos por el registro de fierros para marcar ganado y magueyes</w:t>
            </w:r>
          </w:p>
        </w:tc>
        <w:tc>
          <w:tcPr>
            <w:tcW w:w="1843" w:type="dxa"/>
            <w:vAlign w:val="center"/>
          </w:tcPr>
          <w:p w14:paraId="4180609B" w14:textId="77777777" w:rsidR="00917F8F" w:rsidRPr="00917F8F" w:rsidRDefault="00917F8F" w:rsidP="00151450">
            <w:pPr>
              <w:spacing w:after="0" w:line="240" w:lineRule="auto"/>
              <w:jc w:val="center"/>
              <w:rPr>
                <w:rFonts w:ascii="Arial Narrow" w:hAnsi="Arial Narrow"/>
                <w:lang w:eastAsia="es-MX"/>
              </w:rPr>
            </w:pPr>
            <w:r w:rsidRPr="00917F8F">
              <w:rPr>
                <w:rFonts w:ascii="Arial Narrow" w:hAnsi="Arial Narrow" w:cs="Tahoma"/>
              </w:rPr>
              <w:t>55.00</w:t>
            </w:r>
          </w:p>
        </w:tc>
      </w:tr>
      <w:tr w:rsidR="00917F8F" w:rsidRPr="00E96E85" w14:paraId="0EAEA3D4" w14:textId="77777777" w:rsidTr="00151450">
        <w:trPr>
          <w:trHeight w:val="20"/>
        </w:trPr>
        <w:tc>
          <w:tcPr>
            <w:tcW w:w="5953" w:type="dxa"/>
          </w:tcPr>
          <w:p w14:paraId="29048E21" w14:textId="77777777" w:rsidR="00917F8F" w:rsidRPr="00917F8F" w:rsidRDefault="00917F8F" w:rsidP="00151450">
            <w:pPr>
              <w:spacing w:after="0" w:line="240" w:lineRule="auto"/>
              <w:jc w:val="both"/>
              <w:rPr>
                <w:rFonts w:ascii="Arial Narrow" w:hAnsi="Arial Narrow" w:cs="Tahoma"/>
                <w:lang w:eastAsia="es-MX"/>
              </w:rPr>
            </w:pPr>
            <w:r w:rsidRPr="00917F8F">
              <w:rPr>
                <w:rFonts w:ascii="Arial Narrow" w:hAnsi="Arial Narrow" w:cs="Tahoma"/>
                <w:lang w:eastAsia="es-MX"/>
              </w:rPr>
              <w:t xml:space="preserve">     Derechos por refrendo del registro o revisión de fierros para marcar</w:t>
            </w:r>
          </w:p>
          <w:p w14:paraId="2ECD5F6E" w14:textId="77777777" w:rsidR="00917F8F" w:rsidRPr="00917F8F" w:rsidRDefault="00917F8F" w:rsidP="00151450">
            <w:pPr>
              <w:spacing w:after="0" w:line="240" w:lineRule="auto"/>
              <w:jc w:val="both"/>
              <w:rPr>
                <w:rFonts w:ascii="Arial Narrow" w:hAnsi="Arial Narrow" w:cs="Tahoma"/>
                <w:lang w:eastAsia="es-MX"/>
              </w:rPr>
            </w:pPr>
            <w:r w:rsidRPr="00917F8F">
              <w:rPr>
                <w:rFonts w:ascii="Arial Narrow" w:hAnsi="Arial Narrow" w:cs="Tahoma"/>
                <w:lang w:eastAsia="es-MX"/>
              </w:rPr>
              <w:t xml:space="preserve">     ganado y magueyes</w:t>
            </w:r>
          </w:p>
        </w:tc>
        <w:tc>
          <w:tcPr>
            <w:tcW w:w="1843" w:type="dxa"/>
            <w:vAlign w:val="center"/>
          </w:tcPr>
          <w:p w14:paraId="17D2D7D4" w14:textId="77777777" w:rsidR="00917F8F" w:rsidRPr="00917F8F" w:rsidRDefault="00917F8F" w:rsidP="00151450">
            <w:pPr>
              <w:spacing w:after="0" w:line="240" w:lineRule="auto"/>
              <w:jc w:val="center"/>
              <w:rPr>
                <w:rFonts w:ascii="Arial Narrow" w:hAnsi="Arial Narrow"/>
                <w:lang w:eastAsia="es-MX"/>
              </w:rPr>
            </w:pPr>
            <w:r w:rsidRPr="00917F8F">
              <w:rPr>
                <w:rFonts w:ascii="Arial Narrow" w:hAnsi="Arial Narrow" w:cs="Tahoma"/>
              </w:rPr>
              <w:t>35.00</w:t>
            </w:r>
          </w:p>
        </w:tc>
      </w:tr>
      <w:tr w:rsidR="00917F8F" w:rsidRPr="00E96E85" w14:paraId="4AA6D944" w14:textId="77777777" w:rsidTr="00151450">
        <w:trPr>
          <w:trHeight w:val="20"/>
        </w:trPr>
        <w:tc>
          <w:tcPr>
            <w:tcW w:w="5953" w:type="dxa"/>
          </w:tcPr>
          <w:p w14:paraId="5CCFBE40" w14:textId="3D70064D" w:rsidR="00917F8F" w:rsidRPr="00917F8F" w:rsidRDefault="00917F8F" w:rsidP="00151450">
            <w:pPr>
              <w:spacing w:after="0" w:line="240" w:lineRule="auto"/>
              <w:jc w:val="both"/>
              <w:rPr>
                <w:rFonts w:ascii="Arial Narrow" w:hAnsi="Arial Narrow" w:cs="Tahoma"/>
                <w:lang w:eastAsia="es-MX"/>
              </w:rPr>
            </w:pPr>
            <w:r w:rsidRPr="00917F8F">
              <w:rPr>
                <w:rFonts w:ascii="Arial Narrow" w:hAnsi="Arial Narrow" w:cs="Tahoma"/>
                <w:lang w:eastAsia="es-MX"/>
              </w:rPr>
              <w:t xml:space="preserve">     Derechos por sucesión </w:t>
            </w:r>
            <w:r>
              <w:rPr>
                <w:rFonts w:ascii="Arial Narrow" w:hAnsi="Arial Narrow" w:cs="Tahoma"/>
                <w:lang w:eastAsia="es-MX"/>
              </w:rPr>
              <w:t xml:space="preserve">o cancelación </w:t>
            </w:r>
            <w:r w:rsidRPr="00917F8F">
              <w:rPr>
                <w:rFonts w:ascii="Arial Narrow" w:hAnsi="Arial Narrow" w:cs="Tahoma"/>
                <w:lang w:eastAsia="es-MX"/>
              </w:rPr>
              <w:t>de figura de herrar</w:t>
            </w:r>
          </w:p>
        </w:tc>
        <w:tc>
          <w:tcPr>
            <w:tcW w:w="1843" w:type="dxa"/>
            <w:vAlign w:val="center"/>
          </w:tcPr>
          <w:p w14:paraId="28C28CF8" w14:textId="77777777" w:rsidR="00917F8F" w:rsidRPr="00917F8F" w:rsidRDefault="00917F8F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917F8F">
              <w:rPr>
                <w:rFonts w:ascii="Arial Narrow" w:hAnsi="Arial Narrow" w:cs="Tahoma"/>
              </w:rPr>
              <w:t>40.00</w:t>
            </w:r>
          </w:p>
        </w:tc>
      </w:tr>
      <w:tr w:rsidR="00917F8F" w:rsidRPr="00E96E85" w14:paraId="4AD77139" w14:textId="77777777" w:rsidTr="00151450">
        <w:trPr>
          <w:trHeight w:val="20"/>
        </w:trPr>
        <w:tc>
          <w:tcPr>
            <w:tcW w:w="5953" w:type="dxa"/>
          </w:tcPr>
          <w:p w14:paraId="7DE9D101" w14:textId="77777777" w:rsidR="00917F8F" w:rsidRPr="00917F8F" w:rsidRDefault="00917F8F" w:rsidP="00151450">
            <w:pPr>
              <w:spacing w:after="0" w:line="240" w:lineRule="auto"/>
              <w:jc w:val="both"/>
              <w:rPr>
                <w:rFonts w:ascii="Arial Narrow" w:hAnsi="Arial Narrow" w:cs="Tahoma"/>
                <w:lang w:eastAsia="es-MX"/>
              </w:rPr>
            </w:pPr>
            <w:r w:rsidRPr="00917F8F">
              <w:rPr>
                <w:rFonts w:ascii="Arial Narrow" w:hAnsi="Arial Narrow" w:cs="Tahoma"/>
                <w:lang w:eastAsia="es-MX"/>
              </w:rPr>
              <w:t xml:space="preserve">     Derechos por cancelación de figura de herrar</w:t>
            </w:r>
          </w:p>
        </w:tc>
        <w:tc>
          <w:tcPr>
            <w:tcW w:w="1843" w:type="dxa"/>
            <w:vAlign w:val="center"/>
          </w:tcPr>
          <w:p w14:paraId="0E040243" w14:textId="77777777" w:rsidR="00917F8F" w:rsidRPr="00917F8F" w:rsidRDefault="00917F8F" w:rsidP="00151450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917F8F">
              <w:rPr>
                <w:rFonts w:ascii="Arial Narrow" w:hAnsi="Arial Narrow" w:cs="Tahoma"/>
              </w:rPr>
              <w:t>40.00</w:t>
            </w:r>
          </w:p>
        </w:tc>
      </w:tr>
    </w:tbl>
    <w:p w14:paraId="70BDDCD2" w14:textId="0804DC5C" w:rsidR="0044684B" w:rsidRDefault="0044684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1D8EC88B" w14:textId="0EE39194" w:rsidR="009C1299" w:rsidRPr="004F11E1" w:rsidRDefault="009C1299" w:rsidP="004F11E1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/>
        </w:rPr>
        <w:t>NO HABIENDO OTRO ASUNTO QUE TRATAR, SE CIERRA LA PRESENTE EXPOSICIÓN MOTIVOS, SI</w:t>
      </w:r>
      <w:r w:rsidR="00F17D17">
        <w:rPr>
          <w:rFonts w:ascii="Arial Narrow" w:hAnsi="Arial Narrow"/>
        </w:rPr>
        <w:t xml:space="preserve">ENDO LAS </w:t>
      </w:r>
      <w:r w:rsidR="00643437" w:rsidRPr="004F11E1">
        <w:rPr>
          <w:rFonts w:ascii="Arial Narrow" w:hAnsi="Arial Narrow"/>
          <w:highlight w:val="yellow"/>
        </w:rPr>
        <w:t>14</w:t>
      </w:r>
      <w:r w:rsidR="00F17D17" w:rsidRPr="004F11E1">
        <w:rPr>
          <w:rFonts w:ascii="Arial Narrow" w:hAnsi="Arial Narrow"/>
          <w:highlight w:val="yellow"/>
        </w:rPr>
        <w:t>:00 HORAS DEL DÍA 3</w:t>
      </w:r>
      <w:r w:rsidR="00643437" w:rsidRPr="004F11E1">
        <w:rPr>
          <w:rFonts w:ascii="Arial Narrow" w:hAnsi="Arial Narrow"/>
          <w:highlight w:val="yellow"/>
        </w:rPr>
        <w:t>0</w:t>
      </w:r>
      <w:r w:rsidRPr="004F11E1">
        <w:rPr>
          <w:rFonts w:ascii="Arial Narrow" w:hAnsi="Arial Narrow"/>
          <w:highlight w:val="yellow"/>
        </w:rPr>
        <w:t xml:space="preserve"> DEL MES DE </w:t>
      </w:r>
      <w:r w:rsidR="002D5B4D" w:rsidRPr="004F11E1">
        <w:rPr>
          <w:rFonts w:ascii="Arial Narrow" w:hAnsi="Arial Narrow"/>
          <w:highlight w:val="yellow"/>
        </w:rPr>
        <w:t>AGOSTO</w:t>
      </w:r>
      <w:r w:rsidRPr="004F11E1">
        <w:rPr>
          <w:rFonts w:ascii="Arial Narrow" w:hAnsi="Arial Narrow"/>
          <w:highlight w:val="yellow"/>
        </w:rPr>
        <w:t xml:space="preserve"> DE 202</w:t>
      </w:r>
      <w:r w:rsidR="002D5B4D" w:rsidRPr="004F11E1">
        <w:rPr>
          <w:rFonts w:ascii="Arial Narrow" w:hAnsi="Arial Narrow"/>
          <w:highlight w:val="yellow"/>
        </w:rPr>
        <w:t>4</w:t>
      </w:r>
      <w:r w:rsidRPr="009C1299">
        <w:rPr>
          <w:rFonts w:ascii="Arial Narrow" w:hAnsi="Arial Narrow"/>
        </w:rPr>
        <w:t xml:space="preserve">, </w:t>
      </w:r>
      <w:r w:rsidRPr="009C1299">
        <w:rPr>
          <w:rFonts w:ascii="Arial Narrow" w:hAnsi="Arial Narrow"/>
          <w:b/>
        </w:rPr>
        <w:t xml:space="preserve">FIRMANDO DE CONFORMIDAD LOS QUE EN ELLA INTERVINIERON AL MARGEN Y AL CALCE EN TODAS LAS </w:t>
      </w:r>
      <w:r w:rsidR="004E5287" w:rsidRPr="009C1299">
        <w:rPr>
          <w:rFonts w:ascii="Arial Narrow" w:hAnsi="Arial Narrow"/>
          <w:b/>
        </w:rPr>
        <w:t>FOJAS</w:t>
      </w:r>
      <w:r w:rsidR="004E5287">
        <w:rPr>
          <w:rFonts w:ascii="Arial Narrow" w:hAnsi="Arial Narrow"/>
          <w:b/>
        </w:rPr>
        <w:t>.</w:t>
      </w:r>
      <w:r w:rsidRPr="009C1299">
        <w:rPr>
          <w:rFonts w:ascii="Arial Narrow" w:hAnsi="Arial Narrow"/>
        </w:rPr>
        <w:t xml:space="preserve"> </w:t>
      </w:r>
    </w:p>
    <w:p w14:paraId="09B03B84" w14:textId="77777777" w:rsidR="009C1299" w:rsidRPr="009C1299" w:rsidRDefault="009C1299" w:rsidP="009C1299">
      <w:pPr>
        <w:jc w:val="both"/>
        <w:rPr>
          <w:rFonts w:ascii="Arial Narrow" w:hAnsi="Arial Narrow"/>
        </w:rPr>
      </w:pPr>
    </w:p>
    <w:p w14:paraId="48E7E136" w14:textId="77777777" w:rsidR="009C1299" w:rsidRPr="009C1299" w:rsidRDefault="009C1299" w:rsidP="009C1299">
      <w:pPr>
        <w:jc w:val="both"/>
        <w:rPr>
          <w:rFonts w:ascii="Arial Narrow" w:hAnsi="Arial Narrow"/>
        </w:rPr>
      </w:pPr>
    </w:p>
    <w:p w14:paraId="02B7BF8B" w14:textId="236DDD04" w:rsidR="009C1299" w:rsidRPr="009C1299" w:rsidRDefault="004F11E1" w:rsidP="009C129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9C1299" w:rsidRPr="009C1299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MTRA</w:t>
      </w:r>
      <w:r w:rsidR="005A12B4">
        <w:rPr>
          <w:rFonts w:ascii="Arial Narrow" w:hAnsi="Arial Narrow"/>
        </w:rPr>
        <w:t>.</w:t>
      </w:r>
      <w:r w:rsidR="00FC299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MARTHA LÓPEZ PATRICIO</w:t>
      </w:r>
    </w:p>
    <w:p w14:paraId="1A75911F" w14:textId="55CFF3A9" w:rsidR="009C1299" w:rsidRPr="009C1299" w:rsidRDefault="009C1299" w:rsidP="004F11E1">
      <w:pPr>
        <w:jc w:val="center"/>
        <w:rPr>
          <w:rFonts w:ascii="Arial Narrow" w:hAnsi="Arial Narrow"/>
        </w:rPr>
      </w:pPr>
      <w:r w:rsidRPr="009C1299">
        <w:rPr>
          <w:rFonts w:ascii="Arial Narrow" w:hAnsi="Arial Narrow"/>
        </w:rPr>
        <w:t>PRESIDENT</w:t>
      </w:r>
      <w:r w:rsidR="004F11E1">
        <w:rPr>
          <w:rFonts w:ascii="Arial Narrow" w:hAnsi="Arial Narrow"/>
        </w:rPr>
        <w:t>A</w:t>
      </w:r>
      <w:r w:rsidRPr="009C1299">
        <w:rPr>
          <w:rFonts w:ascii="Arial Narrow" w:hAnsi="Arial Narrow"/>
        </w:rPr>
        <w:t xml:space="preserve"> </w:t>
      </w:r>
      <w:r w:rsidR="005F114B">
        <w:rPr>
          <w:rFonts w:ascii="Arial Narrow" w:hAnsi="Arial Narrow"/>
        </w:rPr>
        <w:t xml:space="preserve">MUNICIPAL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9C1299" w:rsidRPr="009C1299" w14:paraId="350BABCE" w14:textId="77777777" w:rsidTr="001B5CE6">
        <w:tc>
          <w:tcPr>
            <w:tcW w:w="4322" w:type="dxa"/>
            <w:shd w:val="clear" w:color="auto" w:fill="auto"/>
          </w:tcPr>
          <w:p w14:paraId="2B4D17A6" w14:textId="77777777" w:rsidR="009C1299" w:rsidRPr="009C1299" w:rsidRDefault="009C1299" w:rsidP="001B5CE6">
            <w:pPr>
              <w:snapToGrid w:val="0"/>
              <w:jc w:val="both"/>
              <w:rPr>
                <w:rFonts w:ascii="Arial Narrow" w:hAnsi="Arial Narrow"/>
              </w:rPr>
            </w:pPr>
          </w:p>
          <w:p w14:paraId="4790F66C" w14:textId="77777777" w:rsidR="009C1299" w:rsidRPr="009C1299" w:rsidRDefault="009C1299" w:rsidP="001B5CE6">
            <w:pPr>
              <w:jc w:val="both"/>
              <w:rPr>
                <w:rFonts w:ascii="Arial Narrow" w:hAnsi="Arial Narrow"/>
              </w:rPr>
            </w:pPr>
          </w:p>
          <w:p w14:paraId="1F4A7324" w14:textId="46530D8C" w:rsidR="009C1299" w:rsidRPr="009C1299" w:rsidRDefault="00CE21FF" w:rsidP="001B5CE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</w:t>
            </w:r>
          </w:p>
          <w:p w14:paraId="062FE0C2" w14:textId="2AA7DB77" w:rsidR="009C1299" w:rsidRPr="009C1299" w:rsidRDefault="009C1299" w:rsidP="00CE21FF">
            <w:pPr>
              <w:jc w:val="center"/>
              <w:rPr>
                <w:rFonts w:ascii="Arial Narrow" w:hAnsi="Arial Narrow"/>
              </w:rPr>
            </w:pPr>
            <w:r w:rsidRPr="009C1299">
              <w:rPr>
                <w:rFonts w:ascii="Arial Narrow" w:hAnsi="Arial Narrow"/>
              </w:rPr>
              <w:lastRenderedPageBreak/>
              <w:t xml:space="preserve">C. </w:t>
            </w:r>
            <w:r w:rsidR="004D291F" w:rsidRPr="004D291F">
              <w:rPr>
                <w:rFonts w:ascii="Arial Narrow" w:hAnsi="Arial Narrow"/>
              </w:rPr>
              <w:t>NATANAEL PACHECO NICOLAS</w:t>
            </w:r>
          </w:p>
        </w:tc>
        <w:tc>
          <w:tcPr>
            <w:tcW w:w="4322" w:type="dxa"/>
            <w:shd w:val="clear" w:color="auto" w:fill="auto"/>
          </w:tcPr>
          <w:p w14:paraId="75CE1A30" w14:textId="77777777" w:rsidR="009C1299" w:rsidRPr="009C1299" w:rsidRDefault="009C1299" w:rsidP="001B5CE6">
            <w:pPr>
              <w:snapToGrid w:val="0"/>
              <w:jc w:val="both"/>
              <w:rPr>
                <w:rFonts w:ascii="Arial Narrow" w:hAnsi="Arial Narrow"/>
              </w:rPr>
            </w:pPr>
          </w:p>
          <w:p w14:paraId="7ECF879D" w14:textId="77777777" w:rsidR="009C1299" w:rsidRPr="009C1299" w:rsidRDefault="009C1299" w:rsidP="001B5CE6">
            <w:pPr>
              <w:jc w:val="both"/>
              <w:rPr>
                <w:rFonts w:ascii="Arial Narrow" w:hAnsi="Arial Narrow"/>
              </w:rPr>
            </w:pPr>
          </w:p>
          <w:p w14:paraId="7A928CB1" w14:textId="77777777" w:rsidR="009C1299" w:rsidRPr="009C1299" w:rsidRDefault="009C1299" w:rsidP="001B5CE6">
            <w:pPr>
              <w:jc w:val="both"/>
              <w:rPr>
                <w:rFonts w:ascii="Arial Narrow" w:hAnsi="Arial Narrow"/>
              </w:rPr>
            </w:pPr>
          </w:p>
          <w:p w14:paraId="632C497A" w14:textId="301C1A36" w:rsidR="009C1299" w:rsidRPr="009C1299" w:rsidRDefault="009C1299" w:rsidP="00CE21FF">
            <w:pPr>
              <w:jc w:val="center"/>
              <w:rPr>
                <w:rFonts w:ascii="Arial Narrow" w:hAnsi="Arial Narrow"/>
              </w:rPr>
            </w:pPr>
            <w:r w:rsidRPr="009C1299">
              <w:rPr>
                <w:rFonts w:ascii="Arial Narrow" w:hAnsi="Arial Narrow"/>
              </w:rPr>
              <w:lastRenderedPageBreak/>
              <w:t xml:space="preserve">C. </w:t>
            </w:r>
            <w:r w:rsidR="004D291F" w:rsidRPr="004D291F">
              <w:rPr>
                <w:rFonts w:ascii="Arial Narrow" w:hAnsi="Arial Narrow"/>
              </w:rPr>
              <w:t>MIRIAM MIRANDA CABRERA</w:t>
            </w:r>
          </w:p>
        </w:tc>
      </w:tr>
      <w:tr w:rsidR="009C1299" w:rsidRPr="009C1299" w14:paraId="0BAD6F0D" w14:textId="77777777" w:rsidTr="001B5CE6">
        <w:tc>
          <w:tcPr>
            <w:tcW w:w="4322" w:type="dxa"/>
            <w:shd w:val="clear" w:color="auto" w:fill="auto"/>
          </w:tcPr>
          <w:p w14:paraId="1BCAD98D" w14:textId="0AE34D0B" w:rsidR="009C1299" w:rsidRPr="009C1299" w:rsidRDefault="00E30F63" w:rsidP="001B5C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SÍNDICO</w:t>
            </w:r>
            <w:r w:rsidR="005F114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14:paraId="5008B649" w14:textId="3C3A11ED" w:rsidR="009C1299" w:rsidRPr="009C1299" w:rsidRDefault="00E30F63" w:rsidP="001B5C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REGIDOR</w:t>
            </w:r>
          </w:p>
          <w:p w14:paraId="7945F3F8" w14:textId="77777777" w:rsidR="009C1299" w:rsidRPr="009C1299" w:rsidRDefault="009C1299" w:rsidP="001B5CE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78A063D" w14:textId="77777777" w:rsidR="009C1299" w:rsidRPr="009C1299" w:rsidRDefault="009C1299" w:rsidP="009C1299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9C1299" w:rsidRPr="009C1299" w14:paraId="3A663601" w14:textId="77777777" w:rsidTr="009C1299">
        <w:trPr>
          <w:trHeight w:val="1068"/>
        </w:trPr>
        <w:tc>
          <w:tcPr>
            <w:tcW w:w="4309" w:type="dxa"/>
          </w:tcPr>
          <w:p w14:paraId="251E14B3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0E0CD5E5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1D7674E1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646EA88A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044496F2" w14:textId="15D36E08" w:rsidR="009C1299" w:rsidRPr="009C1299" w:rsidRDefault="009C1299" w:rsidP="00CE21FF">
            <w:pPr>
              <w:jc w:val="center"/>
              <w:rPr>
                <w:rFonts w:ascii="Arial Narrow" w:hAnsi="Arial Narrow"/>
              </w:rPr>
            </w:pPr>
            <w:r w:rsidRPr="009C1299">
              <w:rPr>
                <w:rFonts w:ascii="Arial Narrow" w:hAnsi="Arial Narrow"/>
              </w:rPr>
              <w:t xml:space="preserve">C. </w:t>
            </w:r>
            <w:r w:rsidR="004D291F" w:rsidRPr="004D291F">
              <w:rPr>
                <w:rFonts w:ascii="Arial Narrow" w:hAnsi="Arial Narrow"/>
              </w:rPr>
              <w:t>ÁNGELA HERNÁNDEZ SANTOS</w:t>
            </w:r>
          </w:p>
        </w:tc>
        <w:tc>
          <w:tcPr>
            <w:tcW w:w="4309" w:type="dxa"/>
          </w:tcPr>
          <w:p w14:paraId="565F691A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254FE436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04F2B653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6E49454C" w14:textId="77777777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  <w:p w14:paraId="0BF468D4" w14:textId="216FE7F1" w:rsidR="009C1299" w:rsidRPr="009C1299" w:rsidRDefault="004D291F" w:rsidP="00CE21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C. </w:t>
            </w:r>
            <w:r w:rsidRPr="004D291F">
              <w:rPr>
                <w:rFonts w:ascii="Arial Narrow" w:hAnsi="Arial Narrow"/>
              </w:rPr>
              <w:t>ALAN MARTIN GOMEZ ROSALES</w:t>
            </w:r>
          </w:p>
        </w:tc>
      </w:tr>
      <w:tr w:rsidR="009C1299" w:rsidRPr="009C1299" w14:paraId="1EAD11C0" w14:textId="77777777" w:rsidTr="009C1299">
        <w:trPr>
          <w:trHeight w:val="1036"/>
        </w:trPr>
        <w:tc>
          <w:tcPr>
            <w:tcW w:w="4309" w:type="dxa"/>
          </w:tcPr>
          <w:p w14:paraId="2ABDD521" w14:textId="77777777" w:rsidR="00E30F63" w:rsidRPr="009C1299" w:rsidRDefault="00E30F63" w:rsidP="00E30F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REGIDOR</w:t>
            </w:r>
          </w:p>
          <w:p w14:paraId="7E32858C" w14:textId="3F7C9DC8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09" w:type="dxa"/>
          </w:tcPr>
          <w:p w14:paraId="330A4A19" w14:textId="77777777" w:rsidR="00E30F63" w:rsidRPr="009C1299" w:rsidRDefault="00E30F63" w:rsidP="00E30F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REGIDOR</w:t>
            </w:r>
          </w:p>
          <w:p w14:paraId="733A4D1C" w14:textId="4FA61F44" w:rsidR="009C1299" w:rsidRPr="009C1299" w:rsidRDefault="009C1299" w:rsidP="009C1299">
            <w:pPr>
              <w:jc w:val="center"/>
              <w:rPr>
                <w:rFonts w:ascii="Arial Narrow" w:hAnsi="Arial Narrow"/>
              </w:rPr>
            </w:pPr>
          </w:p>
        </w:tc>
      </w:tr>
      <w:tr w:rsidR="009C1299" w:rsidRPr="009C1299" w14:paraId="6C20EF2F" w14:textId="77777777" w:rsidTr="009C1299">
        <w:trPr>
          <w:trHeight w:val="1068"/>
        </w:trPr>
        <w:tc>
          <w:tcPr>
            <w:tcW w:w="4309" w:type="dxa"/>
          </w:tcPr>
          <w:p w14:paraId="708EBFD9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F62E484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FE55904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C94F015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8CB1266" w14:textId="16CBC78B" w:rsidR="009C1299" w:rsidRPr="004D291F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C.</w:t>
            </w:r>
            <w:r w:rsidR="00CE21FF" w:rsidRPr="004D291F">
              <w:rPr>
                <w:rFonts w:ascii="Arial Narrow" w:hAnsi="Arial Narrow"/>
                <w:highlight w:val="yellow"/>
              </w:rPr>
              <w:t>ELIZABETH SANTIAGO BALTAZAR</w:t>
            </w:r>
          </w:p>
        </w:tc>
        <w:tc>
          <w:tcPr>
            <w:tcW w:w="4309" w:type="dxa"/>
          </w:tcPr>
          <w:p w14:paraId="418D9272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F37EC83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4F795A45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D88EC7E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8E59F67" w14:textId="6888CBD3" w:rsidR="009C1299" w:rsidRPr="004D291F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 xml:space="preserve">C. </w:t>
            </w:r>
            <w:r w:rsidR="00CE21FF" w:rsidRPr="004D291F">
              <w:rPr>
                <w:rFonts w:ascii="Arial Narrow" w:hAnsi="Arial Narrow"/>
                <w:highlight w:val="yellow"/>
              </w:rPr>
              <w:t>LAZARO CAJERO SERAPIO</w:t>
            </w:r>
          </w:p>
        </w:tc>
      </w:tr>
      <w:tr w:rsidR="009C1299" w:rsidRPr="009C1299" w14:paraId="772839F4" w14:textId="77777777" w:rsidTr="009C1299">
        <w:trPr>
          <w:trHeight w:val="1036"/>
        </w:trPr>
        <w:tc>
          <w:tcPr>
            <w:tcW w:w="4309" w:type="dxa"/>
          </w:tcPr>
          <w:p w14:paraId="4539070A" w14:textId="77777777" w:rsidR="00E30F63" w:rsidRPr="004D291F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REGIDOR</w:t>
            </w:r>
          </w:p>
          <w:p w14:paraId="4684C3D4" w14:textId="2CC9651E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3EE9D734" w14:textId="77777777" w:rsidR="00E30F63" w:rsidRPr="004D291F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REGIDOR</w:t>
            </w:r>
          </w:p>
          <w:p w14:paraId="6E596944" w14:textId="37CFEDFD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9C1299" w:rsidRPr="009C1299" w14:paraId="000EB908" w14:textId="77777777" w:rsidTr="009C1299">
        <w:trPr>
          <w:trHeight w:val="1036"/>
        </w:trPr>
        <w:tc>
          <w:tcPr>
            <w:tcW w:w="4309" w:type="dxa"/>
          </w:tcPr>
          <w:p w14:paraId="5D444757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F71BEA2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9AB0126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05806C3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C085FA0" w14:textId="56011B38" w:rsidR="009C1299" w:rsidRPr="004D291F" w:rsidRDefault="009C1299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 xml:space="preserve">C. </w:t>
            </w:r>
            <w:r w:rsidR="00990FB3" w:rsidRPr="004D291F">
              <w:rPr>
                <w:rFonts w:ascii="Arial Narrow" w:hAnsi="Arial Narrow"/>
                <w:highlight w:val="yellow"/>
              </w:rPr>
              <w:t>JUAN LUIS BADILLO OSORIO</w:t>
            </w:r>
          </w:p>
        </w:tc>
        <w:tc>
          <w:tcPr>
            <w:tcW w:w="4309" w:type="dxa"/>
          </w:tcPr>
          <w:p w14:paraId="58494F78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F7AA057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E65D2BD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53529226" w14:textId="77777777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1BD8E74" w14:textId="152E7CDD" w:rsidR="009C1299" w:rsidRPr="004D291F" w:rsidRDefault="009C1299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C.</w:t>
            </w:r>
            <w:r w:rsidR="00990FB3" w:rsidRPr="004D291F">
              <w:rPr>
                <w:rFonts w:ascii="Arial Narrow" w:hAnsi="Arial Narrow"/>
                <w:highlight w:val="yellow"/>
              </w:rPr>
              <w:t xml:space="preserve"> IRMA SEVILLA PEREZ</w:t>
            </w:r>
          </w:p>
        </w:tc>
      </w:tr>
      <w:tr w:rsidR="009C1299" w:rsidRPr="009C1299" w14:paraId="7620279E" w14:textId="77777777" w:rsidTr="009C1299">
        <w:trPr>
          <w:trHeight w:val="1036"/>
        </w:trPr>
        <w:tc>
          <w:tcPr>
            <w:tcW w:w="4309" w:type="dxa"/>
          </w:tcPr>
          <w:p w14:paraId="765203B6" w14:textId="77777777" w:rsidR="00E30F63" w:rsidRPr="004D291F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REGIDOR</w:t>
            </w:r>
          </w:p>
          <w:p w14:paraId="4FDD26EC" w14:textId="2BF1CCFE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2294864B" w14:textId="77777777" w:rsidR="00E30F63" w:rsidRPr="004D291F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REGIDOR</w:t>
            </w:r>
          </w:p>
          <w:p w14:paraId="722AFC5B" w14:textId="43655C58" w:rsidR="009C1299" w:rsidRPr="004D291F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990FB3" w:rsidRPr="009C1299" w14:paraId="7FD4D4FC" w14:textId="77777777" w:rsidTr="009C1299">
        <w:trPr>
          <w:trHeight w:val="1036"/>
        </w:trPr>
        <w:tc>
          <w:tcPr>
            <w:tcW w:w="4309" w:type="dxa"/>
          </w:tcPr>
          <w:p w14:paraId="2E5FD6E0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DC32997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331F5402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53E69583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4D3A5907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4A9CBC47" w14:textId="4B7E7424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C. ANA LUISA MIRANDA GODINEZ</w:t>
            </w:r>
          </w:p>
        </w:tc>
        <w:tc>
          <w:tcPr>
            <w:tcW w:w="4309" w:type="dxa"/>
          </w:tcPr>
          <w:p w14:paraId="0DC24A73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1AECF74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5A597F63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3678E8AF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BBA1CD2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9EFCE93" w14:textId="4DF0676D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C. ARIATNA JETZAMIN ALVARADO DE LA CRUZ</w:t>
            </w:r>
          </w:p>
        </w:tc>
      </w:tr>
      <w:tr w:rsidR="00990FB3" w:rsidRPr="009C1299" w14:paraId="11F2802F" w14:textId="77777777" w:rsidTr="009C1299">
        <w:trPr>
          <w:trHeight w:val="1036"/>
        </w:trPr>
        <w:tc>
          <w:tcPr>
            <w:tcW w:w="4309" w:type="dxa"/>
          </w:tcPr>
          <w:p w14:paraId="6456EEB0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REGIDOR</w:t>
            </w:r>
          </w:p>
          <w:p w14:paraId="22FBC3DB" w14:textId="77777777" w:rsidR="00990FB3" w:rsidRPr="004D291F" w:rsidRDefault="00990FB3" w:rsidP="00990FB3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760FC4D4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4D291F">
              <w:rPr>
                <w:rFonts w:ascii="Arial Narrow" w:hAnsi="Arial Narrow"/>
                <w:highlight w:val="yellow"/>
              </w:rPr>
              <w:t>REGIDOR</w:t>
            </w:r>
          </w:p>
          <w:p w14:paraId="2F956939" w14:textId="77777777" w:rsidR="00990FB3" w:rsidRPr="004D291F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</w:tbl>
    <w:p w14:paraId="7FE13376" w14:textId="77777777" w:rsidR="00BC202C" w:rsidRDefault="00BC202C" w:rsidP="009C1299">
      <w:pPr>
        <w:jc w:val="both"/>
        <w:rPr>
          <w:rFonts w:ascii="Arial Narrow" w:hAnsi="Arial Narrow"/>
        </w:rPr>
      </w:pPr>
    </w:p>
    <w:sectPr w:rsidR="00BC2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461"/>
    <w:multiLevelType w:val="hybridMultilevel"/>
    <w:tmpl w:val="0E4CEAB6"/>
    <w:lvl w:ilvl="0" w:tplc="2B5248F4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717"/>
    <w:multiLevelType w:val="hybridMultilevel"/>
    <w:tmpl w:val="28EC2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4DA"/>
    <w:multiLevelType w:val="hybridMultilevel"/>
    <w:tmpl w:val="2E70F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E7E"/>
    <w:multiLevelType w:val="hybridMultilevel"/>
    <w:tmpl w:val="73527C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26A5"/>
    <w:multiLevelType w:val="hybridMultilevel"/>
    <w:tmpl w:val="5310D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4564"/>
    <w:multiLevelType w:val="hybridMultilevel"/>
    <w:tmpl w:val="68EA2F04"/>
    <w:lvl w:ilvl="0" w:tplc="CD801BAE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834"/>
    <w:multiLevelType w:val="hybridMultilevel"/>
    <w:tmpl w:val="B2223572"/>
    <w:lvl w:ilvl="0" w:tplc="C14066CA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7784"/>
    <w:multiLevelType w:val="hybridMultilevel"/>
    <w:tmpl w:val="2ACADBCE"/>
    <w:lvl w:ilvl="0" w:tplc="927C468E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51AC"/>
    <w:multiLevelType w:val="hybridMultilevel"/>
    <w:tmpl w:val="49826F50"/>
    <w:lvl w:ilvl="0" w:tplc="CA246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0A8"/>
    <w:multiLevelType w:val="hybridMultilevel"/>
    <w:tmpl w:val="F63847C8"/>
    <w:lvl w:ilvl="0" w:tplc="E1424B52">
      <w:start w:val="1"/>
      <w:numFmt w:val="upperRoman"/>
      <w:lvlText w:val="%1."/>
      <w:lvlJc w:val="right"/>
      <w:pPr>
        <w:ind w:left="567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226B8"/>
    <w:multiLevelType w:val="hybridMultilevel"/>
    <w:tmpl w:val="36026BAA"/>
    <w:lvl w:ilvl="0" w:tplc="77B4C1A4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61D7"/>
    <w:multiLevelType w:val="hybridMultilevel"/>
    <w:tmpl w:val="F2CC074E"/>
    <w:lvl w:ilvl="0" w:tplc="E2C089FC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E7C"/>
    <w:multiLevelType w:val="hybridMultilevel"/>
    <w:tmpl w:val="25FE0752"/>
    <w:lvl w:ilvl="0" w:tplc="5F300B70">
      <w:start w:val="1"/>
      <w:numFmt w:val="decimal"/>
      <w:lvlText w:val="II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D1253"/>
    <w:multiLevelType w:val="hybridMultilevel"/>
    <w:tmpl w:val="3F90D0B4"/>
    <w:lvl w:ilvl="0" w:tplc="FBC2FF36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77819"/>
    <w:multiLevelType w:val="hybridMultilevel"/>
    <w:tmpl w:val="92926492"/>
    <w:lvl w:ilvl="0" w:tplc="29D8C232">
      <w:start w:val="1"/>
      <w:numFmt w:val="decimal"/>
      <w:lvlText w:val="I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74BD"/>
    <w:multiLevelType w:val="hybridMultilevel"/>
    <w:tmpl w:val="A8148F4C"/>
    <w:lvl w:ilvl="0" w:tplc="86DC44C6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7021"/>
    <w:multiLevelType w:val="hybridMultilevel"/>
    <w:tmpl w:val="BA90B49E"/>
    <w:lvl w:ilvl="0" w:tplc="D74C3B48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610F6"/>
    <w:multiLevelType w:val="hybridMultilevel"/>
    <w:tmpl w:val="C5FCD25A"/>
    <w:lvl w:ilvl="0" w:tplc="54FCBE2A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7AFF"/>
    <w:multiLevelType w:val="hybridMultilevel"/>
    <w:tmpl w:val="65781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43C7"/>
    <w:multiLevelType w:val="hybridMultilevel"/>
    <w:tmpl w:val="884A009E"/>
    <w:lvl w:ilvl="0" w:tplc="54281246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1776"/>
    <w:multiLevelType w:val="hybridMultilevel"/>
    <w:tmpl w:val="5CF8F2AC"/>
    <w:lvl w:ilvl="0" w:tplc="B40A98FA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44298"/>
    <w:multiLevelType w:val="hybridMultilevel"/>
    <w:tmpl w:val="B406BBBE"/>
    <w:lvl w:ilvl="0" w:tplc="F9CA71E4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5B8A"/>
    <w:multiLevelType w:val="hybridMultilevel"/>
    <w:tmpl w:val="65781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CF2"/>
    <w:multiLevelType w:val="hybridMultilevel"/>
    <w:tmpl w:val="DC74EAC6"/>
    <w:lvl w:ilvl="0" w:tplc="047AF844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4B55"/>
    <w:multiLevelType w:val="hybridMultilevel"/>
    <w:tmpl w:val="25DA7322"/>
    <w:lvl w:ilvl="0" w:tplc="4CB060E2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647BE"/>
    <w:multiLevelType w:val="hybridMultilevel"/>
    <w:tmpl w:val="EA847932"/>
    <w:lvl w:ilvl="0" w:tplc="EE12BAA6">
      <w:start w:val="1"/>
      <w:numFmt w:val="decimal"/>
      <w:suff w:val="space"/>
      <w:lvlText w:val="V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E4E0C"/>
    <w:multiLevelType w:val="hybridMultilevel"/>
    <w:tmpl w:val="8DD46A5C"/>
    <w:lvl w:ilvl="0" w:tplc="6746801E">
      <w:start w:val="1"/>
      <w:numFmt w:val="decimal"/>
      <w:lvlText w:val="III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2060">
    <w:abstractNumId w:val="1"/>
  </w:num>
  <w:num w:numId="2" w16cid:durableId="891115035">
    <w:abstractNumId w:val="3"/>
  </w:num>
  <w:num w:numId="3" w16cid:durableId="2123836678">
    <w:abstractNumId w:val="22"/>
  </w:num>
  <w:num w:numId="4" w16cid:durableId="1603609925">
    <w:abstractNumId w:val="18"/>
  </w:num>
  <w:num w:numId="5" w16cid:durableId="1023017908">
    <w:abstractNumId w:val="8"/>
  </w:num>
  <w:num w:numId="6" w16cid:durableId="2132358852">
    <w:abstractNumId w:val="4"/>
  </w:num>
  <w:num w:numId="7" w16cid:durableId="1489857045">
    <w:abstractNumId w:val="2"/>
  </w:num>
  <w:num w:numId="8" w16cid:durableId="1780493437">
    <w:abstractNumId w:val="15"/>
  </w:num>
  <w:num w:numId="9" w16cid:durableId="490174136">
    <w:abstractNumId w:val="9"/>
  </w:num>
  <w:num w:numId="10" w16cid:durableId="972905928">
    <w:abstractNumId w:val="14"/>
  </w:num>
  <w:num w:numId="11" w16cid:durableId="1610773908">
    <w:abstractNumId w:val="0"/>
  </w:num>
  <w:num w:numId="12" w16cid:durableId="1497381441">
    <w:abstractNumId w:val="20"/>
  </w:num>
  <w:num w:numId="13" w16cid:durableId="765731495">
    <w:abstractNumId w:val="12"/>
  </w:num>
  <w:num w:numId="14" w16cid:durableId="1834954068">
    <w:abstractNumId w:val="11"/>
  </w:num>
  <w:num w:numId="15" w16cid:durableId="593515891">
    <w:abstractNumId w:val="10"/>
  </w:num>
  <w:num w:numId="16" w16cid:durableId="1801410390">
    <w:abstractNumId w:val="24"/>
  </w:num>
  <w:num w:numId="17" w16cid:durableId="2030332531">
    <w:abstractNumId w:val="21"/>
  </w:num>
  <w:num w:numId="18" w16cid:durableId="1999069808">
    <w:abstractNumId w:val="5"/>
  </w:num>
  <w:num w:numId="19" w16cid:durableId="1071122614">
    <w:abstractNumId w:val="26"/>
  </w:num>
  <w:num w:numId="20" w16cid:durableId="1674064050">
    <w:abstractNumId w:val="23"/>
  </w:num>
  <w:num w:numId="21" w16cid:durableId="1117219928">
    <w:abstractNumId w:val="7"/>
  </w:num>
  <w:num w:numId="22" w16cid:durableId="800726497">
    <w:abstractNumId w:val="19"/>
  </w:num>
  <w:num w:numId="23" w16cid:durableId="465314289">
    <w:abstractNumId w:val="6"/>
  </w:num>
  <w:num w:numId="24" w16cid:durableId="595596152">
    <w:abstractNumId w:val="25"/>
  </w:num>
  <w:num w:numId="25" w16cid:durableId="1266810885">
    <w:abstractNumId w:val="16"/>
  </w:num>
  <w:num w:numId="26" w16cid:durableId="240066322">
    <w:abstractNumId w:val="13"/>
  </w:num>
  <w:num w:numId="27" w16cid:durableId="7749032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59"/>
    <w:rsid w:val="00017236"/>
    <w:rsid w:val="00055465"/>
    <w:rsid w:val="00055753"/>
    <w:rsid w:val="000619AD"/>
    <w:rsid w:val="000664E7"/>
    <w:rsid w:val="000701B0"/>
    <w:rsid w:val="0008481C"/>
    <w:rsid w:val="00085FD5"/>
    <w:rsid w:val="000862C6"/>
    <w:rsid w:val="0008757B"/>
    <w:rsid w:val="00090FFC"/>
    <w:rsid w:val="00091DE1"/>
    <w:rsid w:val="0009257C"/>
    <w:rsid w:val="000A4AF3"/>
    <w:rsid w:val="000A4ED0"/>
    <w:rsid w:val="000B0FBB"/>
    <w:rsid w:val="000B1B6A"/>
    <w:rsid w:val="000C0315"/>
    <w:rsid w:val="000C3A93"/>
    <w:rsid w:val="000E3E94"/>
    <w:rsid w:val="000F6B97"/>
    <w:rsid w:val="00100C7C"/>
    <w:rsid w:val="001039E6"/>
    <w:rsid w:val="00112C1F"/>
    <w:rsid w:val="001304F9"/>
    <w:rsid w:val="001350E6"/>
    <w:rsid w:val="00141050"/>
    <w:rsid w:val="001609B1"/>
    <w:rsid w:val="00161BA4"/>
    <w:rsid w:val="0017035C"/>
    <w:rsid w:val="00173419"/>
    <w:rsid w:val="0018230C"/>
    <w:rsid w:val="00196208"/>
    <w:rsid w:val="001A101C"/>
    <w:rsid w:val="001A203E"/>
    <w:rsid w:val="001A7640"/>
    <w:rsid w:val="001C0B55"/>
    <w:rsid w:val="001C1FAF"/>
    <w:rsid w:val="001D38EC"/>
    <w:rsid w:val="001E0039"/>
    <w:rsid w:val="001E7990"/>
    <w:rsid w:val="001F0F00"/>
    <w:rsid w:val="002012EE"/>
    <w:rsid w:val="00211E4E"/>
    <w:rsid w:val="002238B9"/>
    <w:rsid w:val="0023593B"/>
    <w:rsid w:val="0024003E"/>
    <w:rsid w:val="00245E1C"/>
    <w:rsid w:val="00251070"/>
    <w:rsid w:val="00254617"/>
    <w:rsid w:val="002673D7"/>
    <w:rsid w:val="00284EAB"/>
    <w:rsid w:val="00296B4E"/>
    <w:rsid w:val="002A253C"/>
    <w:rsid w:val="002B306C"/>
    <w:rsid w:val="002B3347"/>
    <w:rsid w:val="002C03D1"/>
    <w:rsid w:val="002C6C77"/>
    <w:rsid w:val="002D0E61"/>
    <w:rsid w:val="002D2C09"/>
    <w:rsid w:val="002D5B4D"/>
    <w:rsid w:val="002E71D1"/>
    <w:rsid w:val="00306CD6"/>
    <w:rsid w:val="00336013"/>
    <w:rsid w:val="00342E7A"/>
    <w:rsid w:val="003525AB"/>
    <w:rsid w:val="00352DDF"/>
    <w:rsid w:val="00367470"/>
    <w:rsid w:val="0037064E"/>
    <w:rsid w:val="00370FDB"/>
    <w:rsid w:val="003819C2"/>
    <w:rsid w:val="00386A60"/>
    <w:rsid w:val="00387A4A"/>
    <w:rsid w:val="003906E6"/>
    <w:rsid w:val="003926F6"/>
    <w:rsid w:val="0039374D"/>
    <w:rsid w:val="003A3AFE"/>
    <w:rsid w:val="003A593A"/>
    <w:rsid w:val="003A7F1A"/>
    <w:rsid w:val="003B0156"/>
    <w:rsid w:val="003C59D1"/>
    <w:rsid w:val="003C60CA"/>
    <w:rsid w:val="003D6671"/>
    <w:rsid w:val="003D7658"/>
    <w:rsid w:val="00403C85"/>
    <w:rsid w:val="0041164E"/>
    <w:rsid w:val="00412F84"/>
    <w:rsid w:val="0042707E"/>
    <w:rsid w:val="00445D91"/>
    <w:rsid w:val="0044684B"/>
    <w:rsid w:val="0044699D"/>
    <w:rsid w:val="0045081F"/>
    <w:rsid w:val="00452497"/>
    <w:rsid w:val="00454B14"/>
    <w:rsid w:val="0045530F"/>
    <w:rsid w:val="004647B3"/>
    <w:rsid w:val="00476C17"/>
    <w:rsid w:val="00483077"/>
    <w:rsid w:val="00484B9C"/>
    <w:rsid w:val="00490AEC"/>
    <w:rsid w:val="00492853"/>
    <w:rsid w:val="00493C63"/>
    <w:rsid w:val="004A239B"/>
    <w:rsid w:val="004A58C9"/>
    <w:rsid w:val="004A7669"/>
    <w:rsid w:val="004B5673"/>
    <w:rsid w:val="004C0795"/>
    <w:rsid w:val="004D291F"/>
    <w:rsid w:val="004E3995"/>
    <w:rsid w:val="004E5287"/>
    <w:rsid w:val="004E68AC"/>
    <w:rsid w:val="004F11E1"/>
    <w:rsid w:val="0050068A"/>
    <w:rsid w:val="005064EA"/>
    <w:rsid w:val="00511EE8"/>
    <w:rsid w:val="00515A09"/>
    <w:rsid w:val="005241D6"/>
    <w:rsid w:val="00524CB0"/>
    <w:rsid w:val="00524EDD"/>
    <w:rsid w:val="00534879"/>
    <w:rsid w:val="00537103"/>
    <w:rsid w:val="00546782"/>
    <w:rsid w:val="00551331"/>
    <w:rsid w:val="00557216"/>
    <w:rsid w:val="00561750"/>
    <w:rsid w:val="0056358B"/>
    <w:rsid w:val="00566A1D"/>
    <w:rsid w:val="00567FDD"/>
    <w:rsid w:val="0057474A"/>
    <w:rsid w:val="00576351"/>
    <w:rsid w:val="00586BFD"/>
    <w:rsid w:val="00590418"/>
    <w:rsid w:val="0059175C"/>
    <w:rsid w:val="00591797"/>
    <w:rsid w:val="00591824"/>
    <w:rsid w:val="0059501C"/>
    <w:rsid w:val="005A1150"/>
    <w:rsid w:val="005A12B4"/>
    <w:rsid w:val="005A4A25"/>
    <w:rsid w:val="005B212E"/>
    <w:rsid w:val="005B2B58"/>
    <w:rsid w:val="005B6722"/>
    <w:rsid w:val="005B7BDD"/>
    <w:rsid w:val="005C0F0E"/>
    <w:rsid w:val="005E1B03"/>
    <w:rsid w:val="005E6151"/>
    <w:rsid w:val="005F114B"/>
    <w:rsid w:val="005F7C1C"/>
    <w:rsid w:val="006028E3"/>
    <w:rsid w:val="00612351"/>
    <w:rsid w:val="006253E2"/>
    <w:rsid w:val="006405D4"/>
    <w:rsid w:val="006421EE"/>
    <w:rsid w:val="00643437"/>
    <w:rsid w:val="00644336"/>
    <w:rsid w:val="00693E50"/>
    <w:rsid w:val="006968C2"/>
    <w:rsid w:val="006B31A8"/>
    <w:rsid w:val="006B3955"/>
    <w:rsid w:val="006B79BF"/>
    <w:rsid w:val="006C1089"/>
    <w:rsid w:val="006C6657"/>
    <w:rsid w:val="006D487A"/>
    <w:rsid w:val="006E0BD1"/>
    <w:rsid w:val="006E2F17"/>
    <w:rsid w:val="006E7C82"/>
    <w:rsid w:val="00700CD8"/>
    <w:rsid w:val="00731C3A"/>
    <w:rsid w:val="007437EB"/>
    <w:rsid w:val="00747D3A"/>
    <w:rsid w:val="007541E8"/>
    <w:rsid w:val="00763E5D"/>
    <w:rsid w:val="007746CF"/>
    <w:rsid w:val="00786414"/>
    <w:rsid w:val="007927F7"/>
    <w:rsid w:val="00795704"/>
    <w:rsid w:val="007A0176"/>
    <w:rsid w:val="007A1CD6"/>
    <w:rsid w:val="007C153D"/>
    <w:rsid w:val="007C50C6"/>
    <w:rsid w:val="007D46FD"/>
    <w:rsid w:val="007D4726"/>
    <w:rsid w:val="007E3C2A"/>
    <w:rsid w:val="007E471E"/>
    <w:rsid w:val="007F18FB"/>
    <w:rsid w:val="007F2E83"/>
    <w:rsid w:val="00814237"/>
    <w:rsid w:val="008221B2"/>
    <w:rsid w:val="0082252D"/>
    <w:rsid w:val="0082324C"/>
    <w:rsid w:val="00827DEA"/>
    <w:rsid w:val="00841A8B"/>
    <w:rsid w:val="00847043"/>
    <w:rsid w:val="0085204C"/>
    <w:rsid w:val="00855B98"/>
    <w:rsid w:val="00861DE0"/>
    <w:rsid w:val="0086730F"/>
    <w:rsid w:val="008674DD"/>
    <w:rsid w:val="00867788"/>
    <w:rsid w:val="00893C6C"/>
    <w:rsid w:val="00894388"/>
    <w:rsid w:val="008A38BD"/>
    <w:rsid w:val="008B56B2"/>
    <w:rsid w:val="008B751D"/>
    <w:rsid w:val="008D37AE"/>
    <w:rsid w:val="008D3C6E"/>
    <w:rsid w:val="008E41A4"/>
    <w:rsid w:val="008E7537"/>
    <w:rsid w:val="009015E5"/>
    <w:rsid w:val="00915458"/>
    <w:rsid w:val="00917F8F"/>
    <w:rsid w:val="00925ABC"/>
    <w:rsid w:val="00930B37"/>
    <w:rsid w:val="00943A4C"/>
    <w:rsid w:val="00944DCC"/>
    <w:rsid w:val="00945BBF"/>
    <w:rsid w:val="009525CA"/>
    <w:rsid w:val="00956978"/>
    <w:rsid w:val="00957FF2"/>
    <w:rsid w:val="00976400"/>
    <w:rsid w:val="009769FB"/>
    <w:rsid w:val="009772C6"/>
    <w:rsid w:val="0098740C"/>
    <w:rsid w:val="00990FB3"/>
    <w:rsid w:val="009B1110"/>
    <w:rsid w:val="009B6818"/>
    <w:rsid w:val="009C052A"/>
    <w:rsid w:val="009C1299"/>
    <w:rsid w:val="009C3899"/>
    <w:rsid w:val="009D7585"/>
    <w:rsid w:val="009D7D1D"/>
    <w:rsid w:val="009E7048"/>
    <w:rsid w:val="009F224B"/>
    <w:rsid w:val="00A05EF5"/>
    <w:rsid w:val="00A33F40"/>
    <w:rsid w:val="00A377FF"/>
    <w:rsid w:val="00A44849"/>
    <w:rsid w:val="00A57295"/>
    <w:rsid w:val="00A640B0"/>
    <w:rsid w:val="00A84623"/>
    <w:rsid w:val="00AB28C8"/>
    <w:rsid w:val="00AB6C0C"/>
    <w:rsid w:val="00AC44E5"/>
    <w:rsid w:val="00AC612A"/>
    <w:rsid w:val="00AE4E65"/>
    <w:rsid w:val="00AE600A"/>
    <w:rsid w:val="00AF144A"/>
    <w:rsid w:val="00AF1544"/>
    <w:rsid w:val="00B10BEF"/>
    <w:rsid w:val="00B1291D"/>
    <w:rsid w:val="00B13B81"/>
    <w:rsid w:val="00B1653D"/>
    <w:rsid w:val="00B17B60"/>
    <w:rsid w:val="00B213BD"/>
    <w:rsid w:val="00B23214"/>
    <w:rsid w:val="00B33E84"/>
    <w:rsid w:val="00B4576A"/>
    <w:rsid w:val="00B7092A"/>
    <w:rsid w:val="00B70BDC"/>
    <w:rsid w:val="00B85078"/>
    <w:rsid w:val="00B91BF1"/>
    <w:rsid w:val="00BA27C4"/>
    <w:rsid w:val="00BB1BF3"/>
    <w:rsid w:val="00BB2F52"/>
    <w:rsid w:val="00BB3582"/>
    <w:rsid w:val="00BB615A"/>
    <w:rsid w:val="00BB6B20"/>
    <w:rsid w:val="00BC202C"/>
    <w:rsid w:val="00BC2FE7"/>
    <w:rsid w:val="00BC3E79"/>
    <w:rsid w:val="00BC4617"/>
    <w:rsid w:val="00BC6ADE"/>
    <w:rsid w:val="00BC7429"/>
    <w:rsid w:val="00BE3296"/>
    <w:rsid w:val="00BF41E0"/>
    <w:rsid w:val="00C002B8"/>
    <w:rsid w:val="00C251AD"/>
    <w:rsid w:val="00C37EA7"/>
    <w:rsid w:val="00C4101A"/>
    <w:rsid w:val="00C4131A"/>
    <w:rsid w:val="00C4219D"/>
    <w:rsid w:val="00C42556"/>
    <w:rsid w:val="00C63259"/>
    <w:rsid w:val="00C955BE"/>
    <w:rsid w:val="00CA13C7"/>
    <w:rsid w:val="00CB3780"/>
    <w:rsid w:val="00CC7443"/>
    <w:rsid w:val="00CC76C7"/>
    <w:rsid w:val="00CC7F2F"/>
    <w:rsid w:val="00CD1814"/>
    <w:rsid w:val="00CD220D"/>
    <w:rsid w:val="00CE21FF"/>
    <w:rsid w:val="00CE3277"/>
    <w:rsid w:val="00D062EA"/>
    <w:rsid w:val="00D43AEE"/>
    <w:rsid w:val="00D47164"/>
    <w:rsid w:val="00D60223"/>
    <w:rsid w:val="00D612B2"/>
    <w:rsid w:val="00D6576B"/>
    <w:rsid w:val="00D831F6"/>
    <w:rsid w:val="00DB0A6C"/>
    <w:rsid w:val="00DB2A62"/>
    <w:rsid w:val="00DB2A68"/>
    <w:rsid w:val="00DC7460"/>
    <w:rsid w:val="00DD4D8A"/>
    <w:rsid w:val="00DE2DA8"/>
    <w:rsid w:val="00E00FBF"/>
    <w:rsid w:val="00E05E12"/>
    <w:rsid w:val="00E06A0A"/>
    <w:rsid w:val="00E233ED"/>
    <w:rsid w:val="00E23C7E"/>
    <w:rsid w:val="00E276BC"/>
    <w:rsid w:val="00E30F63"/>
    <w:rsid w:val="00E3361D"/>
    <w:rsid w:val="00E34DB0"/>
    <w:rsid w:val="00E37651"/>
    <w:rsid w:val="00E40A44"/>
    <w:rsid w:val="00E432BE"/>
    <w:rsid w:val="00E65681"/>
    <w:rsid w:val="00E9013D"/>
    <w:rsid w:val="00E946B2"/>
    <w:rsid w:val="00EA2D89"/>
    <w:rsid w:val="00EB35FE"/>
    <w:rsid w:val="00EB7659"/>
    <w:rsid w:val="00EC4A7F"/>
    <w:rsid w:val="00EC52DA"/>
    <w:rsid w:val="00EE0325"/>
    <w:rsid w:val="00EE0526"/>
    <w:rsid w:val="00EE3A83"/>
    <w:rsid w:val="00EF084C"/>
    <w:rsid w:val="00EF1EFB"/>
    <w:rsid w:val="00EF5BEB"/>
    <w:rsid w:val="00EF6EF2"/>
    <w:rsid w:val="00EF6FDE"/>
    <w:rsid w:val="00F1019E"/>
    <w:rsid w:val="00F13230"/>
    <w:rsid w:val="00F17D17"/>
    <w:rsid w:val="00F33FF1"/>
    <w:rsid w:val="00F35BD0"/>
    <w:rsid w:val="00F44CDB"/>
    <w:rsid w:val="00F45683"/>
    <w:rsid w:val="00F46694"/>
    <w:rsid w:val="00F504B8"/>
    <w:rsid w:val="00F73993"/>
    <w:rsid w:val="00F745A6"/>
    <w:rsid w:val="00F75B8F"/>
    <w:rsid w:val="00F7794B"/>
    <w:rsid w:val="00F84C35"/>
    <w:rsid w:val="00F85B80"/>
    <w:rsid w:val="00F90070"/>
    <w:rsid w:val="00F9132F"/>
    <w:rsid w:val="00FA07B6"/>
    <w:rsid w:val="00FA3373"/>
    <w:rsid w:val="00FA5A27"/>
    <w:rsid w:val="00FA673B"/>
    <w:rsid w:val="00FC1759"/>
    <w:rsid w:val="00FC2992"/>
    <w:rsid w:val="00FC33D0"/>
    <w:rsid w:val="00FC3520"/>
    <w:rsid w:val="00FE21C9"/>
    <w:rsid w:val="00FF5912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C4F2"/>
  <w15:docId w15:val="{6F837162-42E8-48C8-8510-F2A34B8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433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FD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D6671"/>
  </w:style>
  <w:style w:type="character" w:styleId="Hipervnculo">
    <w:name w:val="Hyperlink"/>
    <w:basedOn w:val="Fuentedeprrafopredeter"/>
    <w:uiPriority w:val="99"/>
    <w:semiHidden/>
    <w:unhideWhenUsed/>
    <w:rsid w:val="003D6671"/>
    <w:rPr>
      <w:color w:val="0000FF"/>
      <w:u w:val="single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EF1EFB"/>
    <w:pPr>
      <w:spacing w:after="160" w:line="259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F1EFB"/>
    <w:rPr>
      <w:b/>
      <w:bCs/>
    </w:rPr>
  </w:style>
  <w:style w:type="paragraph" w:customStyle="1" w:styleId="ecxmsonormal">
    <w:name w:val="ecxmsonormal"/>
    <w:basedOn w:val="Normal"/>
    <w:rsid w:val="000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E233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443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443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1F0F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F0F00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1F0F0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89438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438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CD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294F-428E-41DE-9EC6-7C92690A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4</Pages>
  <Words>1309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Luis Alberto Nieto Ricarte</cp:lastModifiedBy>
  <cp:revision>161</cp:revision>
  <cp:lastPrinted>2017-10-26T19:38:00Z</cp:lastPrinted>
  <dcterms:created xsi:type="dcterms:W3CDTF">2020-10-06T18:16:00Z</dcterms:created>
  <dcterms:modified xsi:type="dcterms:W3CDTF">2024-09-09T18:47:00Z</dcterms:modified>
</cp:coreProperties>
</file>